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B056" w14:textId="77777777" w:rsidR="00D269E7" w:rsidRDefault="00D269E7" w:rsidP="00D269E7">
      <w:pPr>
        <w:pStyle w:val="EnvelopeReturn"/>
      </w:pPr>
    </w:p>
    <w:p w14:paraId="27B63995" w14:textId="77777777" w:rsidR="00D269E7" w:rsidRDefault="00D269E7" w:rsidP="003E2F56">
      <w:pPr>
        <w:pStyle w:val="NoSpacing"/>
      </w:pPr>
    </w:p>
    <w:p w14:paraId="6BDAC0C2" w14:textId="77777777" w:rsidR="00D269E7" w:rsidRDefault="00D269E7" w:rsidP="003E2F56">
      <w:pPr>
        <w:pStyle w:val="NoSpacing"/>
      </w:pPr>
    </w:p>
    <w:p w14:paraId="218BC936" w14:textId="77777777" w:rsidR="00D269E7" w:rsidRDefault="00D269E7" w:rsidP="003E2F56">
      <w:pPr>
        <w:pStyle w:val="NoSpacing"/>
      </w:pPr>
    </w:p>
    <w:p w14:paraId="0B66FD8E" w14:textId="77777777" w:rsidR="00D269E7" w:rsidRDefault="00D269E7" w:rsidP="003E2F56">
      <w:pPr>
        <w:pStyle w:val="NoSpacing"/>
      </w:pPr>
    </w:p>
    <w:p w14:paraId="63257593" w14:textId="77777777" w:rsidR="00D269E7" w:rsidRDefault="00D269E7" w:rsidP="003E2F56">
      <w:pPr>
        <w:pStyle w:val="NoSpacing"/>
      </w:pPr>
      <w:r w:rsidRPr="00923E7F">
        <w:rPr>
          <w:highlight w:val="yellow"/>
        </w:rPr>
        <w:t>May 18, 2018</w:t>
      </w:r>
    </w:p>
    <w:p w14:paraId="73E83D08" w14:textId="77777777" w:rsidR="00D269E7" w:rsidRDefault="00D269E7" w:rsidP="003E2F56">
      <w:pPr>
        <w:pStyle w:val="NoSpacing"/>
      </w:pPr>
    </w:p>
    <w:p w14:paraId="01581083" w14:textId="77777777" w:rsidR="00D269E7" w:rsidRDefault="00D269E7" w:rsidP="003E2F56">
      <w:pPr>
        <w:pStyle w:val="NoSpacing"/>
      </w:pPr>
    </w:p>
    <w:p w14:paraId="45C25EF1" w14:textId="77777777" w:rsidR="00D269E7" w:rsidRDefault="00D269E7" w:rsidP="003E2F56">
      <w:pPr>
        <w:pStyle w:val="NoSpacing"/>
      </w:pPr>
    </w:p>
    <w:p w14:paraId="5503E219" w14:textId="77777777" w:rsidR="00923E7F" w:rsidRPr="00445FD2" w:rsidRDefault="00923E7F" w:rsidP="00923E7F">
      <w:pPr>
        <w:pStyle w:val="NoSpacing"/>
        <w:rPr>
          <w:highlight w:val="yellow"/>
        </w:rPr>
      </w:pPr>
      <w:r w:rsidRPr="00445FD2">
        <w:rPr>
          <w:highlight w:val="yellow"/>
        </w:rPr>
        <w:t>CONTACT</w:t>
      </w:r>
    </w:p>
    <w:p w14:paraId="1105CC06" w14:textId="77777777" w:rsidR="00923E7F" w:rsidRPr="00445FD2" w:rsidRDefault="00923E7F" w:rsidP="00923E7F">
      <w:pPr>
        <w:pStyle w:val="NoSpacing"/>
        <w:rPr>
          <w:highlight w:val="yellow"/>
        </w:rPr>
      </w:pPr>
      <w:r w:rsidRPr="00445FD2">
        <w:rPr>
          <w:highlight w:val="yellow"/>
        </w:rPr>
        <w:t>COMPANY</w:t>
      </w:r>
    </w:p>
    <w:p w14:paraId="2670CE15" w14:textId="77777777" w:rsidR="00923E7F" w:rsidRDefault="00923E7F" w:rsidP="00923E7F">
      <w:pPr>
        <w:pStyle w:val="NoSpacing"/>
      </w:pPr>
      <w:r w:rsidRPr="00445FD2">
        <w:rPr>
          <w:highlight w:val="yellow"/>
        </w:rPr>
        <w:t>ADRESS</w:t>
      </w:r>
    </w:p>
    <w:p w14:paraId="6CE5B1A8" w14:textId="77777777" w:rsidR="003E2F56" w:rsidRDefault="003E2F56" w:rsidP="003E2F56">
      <w:pPr>
        <w:pStyle w:val="NoSpacing"/>
      </w:pPr>
    </w:p>
    <w:p w14:paraId="43CFB6C1" w14:textId="468CA241" w:rsidR="003E2F56" w:rsidRDefault="003E2F56" w:rsidP="003E2F56">
      <w:pPr>
        <w:pStyle w:val="NoSpacing"/>
      </w:pPr>
      <w:r>
        <w:t>Re:</w:t>
      </w:r>
      <w:r w:rsidR="00DB7504">
        <w:tab/>
      </w:r>
      <w:r>
        <w:t>Regional Haze</w:t>
      </w:r>
    </w:p>
    <w:p w14:paraId="7A03A190" w14:textId="59503C92" w:rsidR="003E2F56" w:rsidRDefault="003E2F56" w:rsidP="00DB7504">
      <w:pPr>
        <w:pStyle w:val="NoSpacing"/>
        <w:ind w:firstLine="720"/>
      </w:pPr>
      <w:r>
        <w:t>Second Planning Period</w:t>
      </w:r>
    </w:p>
    <w:p w14:paraId="76309629" w14:textId="77777777" w:rsidR="00457F11" w:rsidRDefault="00457F11" w:rsidP="00DB7504">
      <w:pPr>
        <w:pStyle w:val="NoSpacing"/>
        <w:ind w:firstLine="720"/>
      </w:pPr>
    </w:p>
    <w:p w14:paraId="00729BC1" w14:textId="59B1ABA8" w:rsidR="003E2F56" w:rsidRDefault="003E2F56" w:rsidP="003E2F56">
      <w:pPr>
        <w:pStyle w:val="NoSpacing"/>
      </w:pPr>
      <w:r>
        <w:t xml:space="preserve">Dear </w:t>
      </w:r>
      <w:r w:rsidR="00923E7F" w:rsidRPr="00923E7F">
        <w:rPr>
          <w:highlight w:val="yellow"/>
        </w:rPr>
        <w:t>X</w:t>
      </w:r>
      <w:r>
        <w:t>:</w:t>
      </w:r>
    </w:p>
    <w:p w14:paraId="1126FB54" w14:textId="39F7404B" w:rsidR="00DB7504" w:rsidRDefault="00D269E7" w:rsidP="00DB7504">
      <w:pPr>
        <w:pStyle w:val="NoSpacing"/>
        <w:spacing w:before="240"/>
        <w:jc w:val="both"/>
      </w:pPr>
      <w:r>
        <w:t>T</w:t>
      </w:r>
      <w:r w:rsidR="003E2F56">
        <w:t>he Department of Health (Department) has begun work on the second planning period (</w:t>
      </w:r>
      <w:r w:rsidR="00DB7504">
        <w:t>R</w:t>
      </w:r>
      <w:r w:rsidR="003E2F56">
        <w:t xml:space="preserve">ound 2) State Implementation Plan (SIP) for </w:t>
      </w:r>
      <w:r w:rsidR="00982E94">
        <w:t>r</w:t>
      </w:r>
      <w:r w:rsidR="003E2F56">
        <w:t xml:space="preserve">egional </w:t>
      </w:r>
      <w:r w:rsidR="00982E94">
        <w:t>h</w:t>
      </w:r>
      <w:r w:rsidR="003E2F56">
        <w:t xml:space="preserve">aze. </w:t>
      </w:r>
      <w:r w:rsidR="0048331B">
        <w:t xml:space="preserve"> </w:t>
      </w:r>
      <w:r w:rsidR="00EC5DCB">
        <w:t xml:space="preserve">In </w:t>
      </w:r>
      <w:r w:rsidR="00DB7504">
        <w:t>R</w:t>
      </w:r>
      <w:r w:rsidR="00EC5DCB">
        <w:t xml:space="preserve">ound 1 of the regional planning process, the emphasis was on Best Available Retrofit Technology (BART) and making reasonable progress towards the national visibility goal.  </w:t>
      </w:r>
      <w:r w:rsidR="0048331B">
        <w:t>In</w:t>
      </w:r>
      <w:r w:rsidR="003E2F56">
        <w:t xml:space="preserve"> </w:t>
      </w:r>
      <w:r w:rsidR="00DB7504">
        <w:t>R</w:t>
      </w:r>
      <w:r w:rsidR="003E2F56">
        <w:t>ound 2</w:t>
      </w:r>
      <w:r w:rsidR="00EC5DCB">
        <w:t xml:space="preserve">, there </w:t>
      </w:r>
      <w:r w:rsidR="0048331B">
        <w:t xml:space="preserve">are no </w:t>
      </w:r>
      <w:r w:rsidR="00EC5DCB">
        <w:t xml:space="preserve">BART </w:t>
      </w:r>
      <w:r w:rsidR="0048331B">
        <w:t xml:space="preserve">requirements; </w:t>
      </w:r>
      <w:r w:rsidR="002B5E06">
        <w:t>ther</w:t>
      </w:r>
      <w:r w:rsidR="00A206B8">
        <w:t>e</w:t>
      </w:r>
      <w:r w:rsidR="002B5E06">
        <w:t>fore</w:t>
      </w:r>
      <w:r w:rsidR="0048331B">
        <w:t xml:space="preserve">, we </w:t>
      </w:r>
      <w:r w:rsidR="003E2F56">
        <w:t xml:space="preserve">will focus on making reasonable progress.  The reasonable progress analysis will be made using the four factors in </w:t>
      </w:r>
      <w:r w:rsidR="00DB7504">
        <w:t>S</w:t>
      </w:r>
      <w:r w:rsidR="003E2F56">
        <w:t>ection 169A(g)(1) of the Clean Air Act</w:t>
      </w:r>
      <w:r w:rsidR="00DB7504">
        <w:t>:</w:t>
      </w:r>
    </w:p>
    <w:p w14:paraId="5E7F105D" w14:textId="77777777" w:rsidR="00DB7504" w:rsidRDefault="00DB7504" w:rsidP="00DB7504">
      <w:pPr>
        <w:pStyle w:val="NoSpacing"/>
        <w:jc w:val="both"/>
      </w:pPr>
    </w:p>
    <w:p w14:paraId="576BF854" w14:textId="0891DAAF" w:rsidR="003E2F56" w:rsidRDefault="003E2F56" w:rsidP="00DB7504">
      <w:pPr>
        <w:pStyle w:val="NoSpacing"/>
        <w:jc w:val="both"/>
      </w:pPr>
      <w:r>
        <w:t>The four factors are:</w:t>
      </w:r>
    </w:p>
    <w:p w14:paraId="2AD870A6" w14:textId="05C83A9F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cost of compliance</w:t>
      </w:r>
    </w:p>
    <w:p w14:paraId="6D7D95CA" w14:textId="43D366C1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time necessary to achieve compliance</w:t>
      </w:r>
    </w:p>
    <w:p w14:paraId="2019D262" w14:textId="74091050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energy and non-air quality environmental impact of compliance; and</w:t>
      </w:r>
    </w:p>
    <w:p w14:paraId="1AC3CF4B" w14:textId="6A9CD11E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remaining useful life of any existing source subject to such requirements</w:t>
      </w:r>
    </w:p>
    <w:p w14:paraId="1D0F4E6E" w14:textId="6F40A654" w:rsidR="003E2F56" w:rsidRDefault="003E2F56" w:rsidP="00DB7504">
      <w:pPr>
        <w:pStyle w:val="NoSpacing"/>
        <w:ind w:left="180"/>
        <w:jc w:val="both"/>
      </w:pPr>
    </w:p>
    <w:p w14:paraId="0CD6876A" w14:textId="198F85C9" w:rsidR="003E2F56" w:rsidRDefault="003E2F56" w:rsidP="00DB7504">
      <w:pPr>
        <w:pStyle w:val="NoSpacing"/>
        <w:jc w:val="both"/>
      </w:pPr>
      <w:r>
        <w:t xml:space="preserve">Guidance provided by the U.S. Environmental </w:t>
      </w:r>
      <w:r w:rsidR="00B223C5">
        <w:t>P</w:t>
      </w:r>
      <w:r>
        <w:t>rotection Agency (</w:t>
      </w:r>
      <w:r w:rsidR="00B223C5">
        <w:t>Draft Guidance on Progress Tracking Metrics, Long Term Strategies, Reasonable Progress Goals and Other Requirements for Regional Haze State Implementation Plans for the Second Implementation Period</w:t>
      </w:r>
      <w:r w:rsidR="006D6631">
        <w:t xml:space="preserve"> at</w:t>
      </w:r>
      <w:r w:rsidR="00EB76C0">
        <w:t xml:space="preserve"> </w:t>
      </w:r>
      <w:hyperlink r:id="rId7" w:history="1">
        <w:r w:rsidR="00EB76C0" w:rsidRPr="00464EEF">
          <w:rPr>
            <w:rStyle w:val="Hyperlink"/>
          </w:rPr>
          <w:t>https://www.epa.gov/sites/production/files/2016-07/documents/draft_regional_haze_guidance_</w:t>
        </w:r>
        <w:r w:rsidR="00EB76C0" w:rsidRPr="00464EEF">
          <w:rPr>
            <w:rStyle w:val="Hyperlink"/>
          </w:rPr>
          <w:br/>
          <w:t>july_2016.pdf</w:t>
        </w:r>
      </w:hyperlink>
      <w:r>
        <w:t>) indicates the Department must</w:t>
      </w:r>
      <w:r w:rsidR="00B223C5">
        <w:t xml:space="preserve"> address 80% of the visibility impairment caused by in-state sources.  Data from the IMPROVE monitoring sites at </w:t>
      </w:r>
      <w:r w:rsidR="00B223C5" w:rsidRPr="00923E7F">
        <w:rPr>
          <w:highlight w:val="yellow"/>
        </w:rPr>
        <w:t>Theodore Roosevelt National Park (TRNP) and Lostwood Wilderness Area (LWA)</w:t>
      </w:r>
      <w:r w:rsidR="00B223C5">
        <w:t xml:space="preserve"> indicate that </w:t>
      </w:r>
      <w:r w:rsidR="00B223C5" w:rsidRPr="00923E7F">
        <w:rPr>
          <w:highlight w:val="yellow"/>
        </w:rPr>
        <w:t>sulfates and nitrates</w:t>
      </w:r>
      <w:r w:rsidR="00B223C5">
        <w:t xml:space="preserve"> continue to be the largest contributors to visibility impairment in these areas.  The primary precursors of </w:t>
      </w:r>
      <w:r w:rsidR="00B223C5" w:rsidRPr="00923E7F">
        <w:rPr>
          <w:highlight w:val="yellow"/>
        </w:rPr>
        <w:t>sulfates and nitrates are emission</w:t>
      </w:r>
      <w:r w:rsidR="00982E94" w:rsidRPr="00923E7F">
        <w:rPr>
          <w:highlight w:val="yellow"/>
        </w:rPr>
        <w:t>s</w:t>
      </w:r>
      <w:r w:rsidR="00B223C5" w:rsidRPr="00923E7F">
        <w:rPr>
          <w:highlight w:val="yellow"/>
        </w:rPr>
        <w:t xml:space="preserve"> of sulfur dioxide</w:t>
      </w:r>
      <w:r w:rsidR="006D6631" w:rsidRPr="00923E7F">
        <w:rPr>
          <w:highlight w:val="yellow"/>
        </w:rPr>
        <w:t xml:space="preserve"> (SO</w:t>
      </w:r>
      <w:r w:rsidR="006D6631" w:rsidRPr="00923E7F">
        <w:rPr>
          <w:highlight w:val="yellow"/>
          <w:vertAlign w:val="subscript"/>
        </w:rPr>
        <w:t>2</w:t>
      </w:r>
      <w:r w:rsidR="006D6631" w:rsidRPr="00923E7F">
        <w:rPr>
          <w:highlight w:val="yellow"/>
        </w:rPr>
        <w:t xml:space="preserve">) </w:t>
      </w:r>
      <w:r w:rsidR="00B223C5" w:rsidRPr="00923E7F">
        <w:rPr>
          <w:highlight w:val="yellow"/>
        </w:rPr>
        <w:t>and nitrogen oxides</w:t>
      </w:r>
      <w:r w:rsidR="006D6631" w:rsidRPr="00923E7F">
        <w:rPr>
          <w:highlight w:val="yellow"/>
        </w:rPr>
        <w:t xml:space="preserve"> (NO</w:t>
      </w:r>
      <w:r w:rsidR="006D6631" w:rsidRPr="00923E7F">
        <w:rPr>
          <w:highlight w:val="yellow"/>
          <w:vertAlign w:val="subscript"/>
        </w:rPr>
        <w:t>X</w:t>
      </w:r>
      <w:r w:rsidR="006D6631" w:rsidRPr="00923E7F">
        <w:rPr>
          <w:highlight w:val="yellow"/>
        </w:rPr>
        <w:t>)</w:t>
      </w:r>
      <w:r w:rsidR="00B223C5">
        <w:t xml:space="preserve">.  </w:t>
      </w:r>
    </w:p>
    <w:p w14:paraId="53480DEF" w14:textId="0E4B665D" w:rsidR="00B223C5" w:rsidRDefault="00B223C5" w:rsidP="00DB7504">
      <w:pPr>
        <w:pStyle w:val="NoSpacing"/>
        <w:ind w:left="180"/>
        <w:jc w:val="both"/>
      </w:pPr>
    </w:p>
    <w:p w14:paraId="2F010EDF" w14:textId="56438877" w:rsidR="00DD0ACC" w:rsidRDefault="00923E7F" w:rsidP="00EB76C0">
      <w:pPr>
        <w:pStyle w:val="NoSpacing"/>
        <w:jc w:val="both"/>
      </w:pPr>
      <w:r w:rsidRPr="00923E7F">
        <w:t xml:space="preserve">The </w:t>
      </w:r>
      <w:r w:rsidRPr="00923E7F">
        <w:rPr>
          <w:highlight w:val="yellow"/>
        </w:rPr>
        <w:t>PLANT/SOURCE/FACILITY</w:t>
      </w:r>
      <w:r w:rsidR="007E49AF">
        <w:t xml:space="preserve"> has been identified as a significant source of </w:t>
      </w:r>
      <w:r w:rsidR="007E49AF" w:rsidRPr="00923E7F">
        <w:rPr>
          <w:highlight w:val="yellow"/>
        </w:rPr>
        <w:t>both SO</w:t>
      </w:r>
      <w:r w:rsidR="007E49AF" w:rsidRPr="00923E7F">
        <w:rPr>
          <w:highlight w:val="yellow"/>
          <w:vertAlign w:val="subscript"/>
        </w:rPr>
        <w:t>2</w:t>
      </w:r>
      <w:r w:rsidR="007E49AF" w:rsidRPr="00923E7F">
        <w:rPr>
          <w:highlight w:val="yellow"/>
        </w:rPr>
        <w:t xml:space="preserve"> and NO</w:t>
      </w:r>
      <w:r w:rsidR="007E49AF" w:rsidRPr="00923E7F">
        <w:rPr>
          <w:highlight w:val="yellow"/>
          <w:vertAlign w:val="subscript"/>
        </w:rPr>
        <w:t>X</w:t>
      </w:r>
      <w:r w:rsidR="007E49AF">
        <w:t xml:space="preserve">. </w:t>
      </w:r>
      <w:r w:rsidR="00B223C5">
        <w:t xml:space="preserve">  </w:t>
      </w:r>
      <w:r w:rsidR="00DD0ACC">
        <w:t>Therefore, the Department requests that you prepare a “four factors” analysis for</w:t>
      </w:r>
      <w:r w:rsidR="007E49AF">
        <w:t xml:space="preserve"> the </w:t>
      </w:r>
      <w:r w:rsidRPr="00923E7F">
        <w:rPr>
          <w:highlight w:val="yellow"/>
        </w:rPr>
        <w:t>PLANT/SOURCE/FACILITY</w:t>
      </w:r>
      <w:r w:rsidR="00DD0ACC">
        <w:t xml:space="preserve">.  The analysis should be prepared using the draft EPA guidance noted above. </w:t>
      </w:r>
      <w:r w:rsidR="0048331B">
        <w:t xml:space="preserve"> </w:t>
      </w:r>
      <w:r w:rsidR="007E49AF">
        <w:t>The following units should be addressed in the analysis</w:t>
      </w:r>
      <w:r w:rsidR="00457F11">
        <w:t>:</w:t>
      </w:r>
    </w:p>
    <w:p w14:paraId="60651CC8" w14:textId="220E034B" w:rsidR="00457F11" w:rsidRDefault="00457F11" w:rsidP="00EB76C0">
      <w:pPr>
        <w:pStyle w:val="NoSpacing"/>
        <w:jc w:val="both"/>
      </w:pPr>
    </w:p>
    <w:p w14:paraId="0EA11789" w14:textId="0D25674A" w:rsidR="00457F11" w:rsidRDefault="00457F11" w:rsidP="00EB76C0">
      <w:pPr>
        <w:pStyle w:val="NoSpacing"/>
        <w:jc w:val="both"/>
      </w:pPr>
      <w:r>
        <w:t>1.</w:t>
      </w:r>
      <w:r w:rsidR="00D269E7">
        <w:tab/>
      </w:r>
      <w:r w:rsidR="00923E7F" w:rsidRPr="00923E7F">
        <w:rPr>
          <w:highlight w:val="yellow"/>
        </w:rPr>
        <w:t>XX</w:t>
      </w:r>
    </w:p>
    <w:p w14:paraId="1999BDC2" w14:textId="33AC5E8C" w:rsidR="00457F11" w:rsidRDefault="00457F11" w:rsidP="00EB76C0">
      <w:pPr>
        <w:pStyle w:val="NoSpacing"/>
        <w:jc w:val="both"/>
      </w:pPr>
      <w:r>
        <w:lastRenderedPageBreak/>
        <w:t>2.</w:t>
      </w:r>
      <w:r w:rsidR="00D269E7">
        <w:tab/>
      </w:r>
      <w:r w:rsidR="00923E7F" w:rsidRPr="00923E7F">
        <w:rPr>
          <w:highlight w:val="yellow"/>
        </w:rPr>
        <w:t>XX</w:t>
      </w:r>
    </w:p>
    <w:p w14:paraId="696330DA" w14:textId="6D6CA753" w:rsidR="00457F11" w:rsidRDefault="00457F11" w:rsidP="00EB76C0">
      <w:pPr>
        <w:pStyle w:val="NoSpacing"/>
        <w:jc w:val="both"/>
      </w:pPr>
      <w:r>
        <w:t>3.</w:t>
      </w:r>
      <w:r w:rsidR="00D269E7">
        <w:tab/>
      </w:r>
      <w:r w:rsidR="00923E7F" w:rsidRPr="00923E7F">
        <w:rPr>
          <w:highlight w:val="yellow"/>
        </w:rPr>
        <w:t>XX</w:t>
      </w:r>
    </w:p>
    <w:p w14:paraId="7A386F1F" w14:textId="77777777" w:rsidR="00DD0ACC" w:rsidRDefault="00DD0ACC" w:rsidP="00EB76C0">
      <w:pPr>
        <w:pStyle w:val="NoSpacing"/>
        <w:jc w:val="both"/>
      </w:pPr>
    </w:p>
    <w:p w14:paraId="7DA2BDC5" w14:textId="35A0AD1C" w:rsidR="00B223C5" w:rsidRDefault="005C051A" w:rsidP="00EB76C0">
      <w:pPr>
        <w:pStyle w:val="NoSpacing"/>
        <w:jc w:val="both"/>
      </w:pPr>
      <w:r>
        <w:t xml:space="preserve">Preparation of the Round 2 Regional Haze SIP will require extensive planning and review of emission sources in North Dakota.  </w:t>
      </w:r>
      <w:r w:rsidR="00DD0ACC">
        <w:t xml:space="preserve">The Department will be working with the Western Regional Air Partnership (WRAP) to prepare the SIP. </w:t>
      </w:r>
      <w:r w:rsidR="00E67AF0">
        <w:t xml:space="preserve"> WRAP will be conducting </w:t>
      </w:r>
      <w:r w:rsidR="0048331B">
        <w:t>air quality</w:t>
      </w:r>
      <w:r w:rsidR="00E67AF0">
        <w:t xml:space="preserve"> modeling of </w:t>
      </w:r>
      <w:r>
        <w:t xml:space="preserve">potential </w:t>
      </w:r>
      <w:r w:rsidR="00612818">
        <w:t xml:space="preserve">regional </w:t>
      </w:r>
      <w:r w:rsidR="00E67AF0">
        <w:t>emission</w:t>
      </w:r>
      <w:r w:rsidR="00612818">
        <w:t>s</w:t>
      </w:r>
      <w:r w:rsidR="00E67AF0">
        <w:t xml:space="preserve"> reductions</w:t>
      </w:r>
      <w:r w:rsidR="00DD0ACC">
        <w:t xml:space="preserve"> </w:t>
      </w:r>
      <w:r w:rsidR="00612818">
        <w:t xml:space="preserve">in </w:t>
      </w:r>
      <w:r w:rsidR="00612818" w:rsidRPr="00923E7F">
        <w:rPr>
          <w:highlight w:val="yellow"/>
        </w:rPr>
        <w:t>early 2019.  The Department asks that your</w:t>
      </w:r>
      <w:r w:rsidR="00DD0ACC" w:rsidRPr="00923E7F">
        <w:rPr>
          <w:highlight w:val="yellow"/>
        </w:rPr>
        <w:t xml:space="preserve"> </w:t>
      </w:r>
      <w:r w:rsidR="00612818" w:rsidRPr="00923E7F">
        <w:rPr>
          <w:highlight w:val="yellow"/>
        </w:rPr>
        <w:t xml:space="preserve">“four factors” analysis </w:t>
      </w:r>
      <w:r w:rsidR="00DD0ACC" w:rsidRPr="00923E7F">
        <w:rPr>
          <w:highlight w:val="yellow"/>
        </w:rPr>
        <w:t>be submitted by January 31, 2019</w:t>
      </w:r>
      <w:r w:rsidR="00DD0ACC" w:rsidRPr="00923E7F">
        <w:t>.</w:t>
      </w:r>
      <w:r w:rsidR="00DD0ACC">
        <w:t xml:space="preserve">  </w:t>
      </w:r>
    </w:p>
    <w:p w14:paraId="621C3251" w14:textId="6EC33965" w:rsidR="00612818" w:rsidRDefault="00612818" w:rsidP="00EB76C0">
      <w:pPr>
        <w:pStyle w:val="NoSpacing"/>
        <w:jc w:val="both"/>
      </w:pPr>
    </w:p>
    <w:p w14:paraId="527DCE14" w14:textId="14FD645D" w:rsidR="00612818" w:rsidRPr="007159A6" w:rsidRDefault="00612818" w:rsidP="00EB76C0">
      <w:pPr>
        <w:pStyle w:val="NoSpacing"/>
        <w:jc w:val="both"/>
        <w:rPr>
          <w:highlight w:val="yellow"/>
        </w:rPr>
      </w:pPr>
      <w:r>
        <w:t xml:space="preserve">If you have any questions, please contact </w:t>
      </w:r>
      <w:r w:rsidR="002B5E06" w:rsidRPr="007159A6">
        <w:rPr>
          <w:highlight w:val="yellow"/>
        </w:rPr>
        <w:t xml:space="preserve">David Stroh </w:t>
      </w:r>
      <w:r w:rsidRPr="007159A6">
        <w:rPr>
          <w:highlight w:val="yellow"/>
        </w:rPr>
        <w:t>of my staff at (701)328-5188.</w:t>
      </w:r>
    </w:p>
    <w:p w14:paraId="52B45CC9" w14:textId="6C585DF6" w:rsidR="00612818" w:rsidRPr="007159A6" w:rsidRDefault="00612818" w:rsidP="00EB76C0">
      <w:pPr>
        <w:pStyle w:val="NoSpacing"/>
        <w:jc w:val="both"/>
        <w:rPr>
          <w:highlight w:val="yellow"/>
        </w:rPr>
      </w:pPr>
    </w:p>
    <w:p w14:paraId="44A000FC" w14:textId="4BCCD42D" w:rsidR="00612818" w:rsidRPr="007159A6" w:rsidRDefault="00612818" w:rsidP="00EB76C0">
      <w:pPr>
        <w:pStyle w:val="NoSpacing"/>
        <w:jc w:val="both"/>
        <w:rPr>
          <w:highlight w:val="yellow"/>
        </w:rPr>
      </w:pPr>
      <w:r w:rsidRPr="007159A6">
        <w:rPr>
          <w:highlight w:val="yellow"/>
        </w:rPr>
        <w:t>Sincerely.</w:t>
      </w:r>
    </w:p>
    <w:p w14:paraId="0BF48F4D" w14:textId="402A455B" w:rsidR="00612818" w:rsidRPr="007159A6" w:rsidRDefault="00612818" w:rsidP="00EB76C0">
      <w:pPr>
        <w:pStyle w:val="NoSpacing"/>
        <w:jc w:val="both"/>
        <w:rPr>
          <w:highlight w:val="yellow"/>
        </w:rPr>
      </w:pPr>
    </w:p>
    <w:p w14:paraId="30B3795E" w14:textId="7043E5A9" w:rsidR="00612818" w:rsidRPr="007159A6" w:rsidRDefault="00612818" w:rsidP="00EB76C0">
      <w:pPr>
        <w:pStyle w:val="NoSpacing"/>
        <w:jc w:val="both"/>
        <w:rPr>
          <w:highlight w:val="yellow"/>
        </w:rPr>
      </w:pPr>
    </w:p>
    <w:p w14:paraId="77CE6E6A" w14:textId="456ED99C" w:rsidR="00612818" w:rsidRPr="007159A6" w:rsidRDefault="00612818" w:rsidP="00EB76C0">
      <w:pPr>
        <w:pStyle w:val="NoSpacing"/>
        <w:jc w:val="both"/>
        <w:rPr>
          <w:highlight w:val="yellow"/>
        </w:rPr>
      </w:pPr>
    </w:p>
    <w:p w14:paraId="489F0E50" w14:textId="62507252" w:rsidR="00612818" w:rsidRPr="007159A6" w:rsidRDefault="00612818" w:rsidP="00EB76C0">
      <w:pPr>
        <w:pStyle w:val="NoSpacing"/>
        <w:jc w:val="both"/>
        <w:rPr>
          <w:highlight w:val="yellow"/>
        </w:rPr>
      </w:pPr>
      <w:r w:rsidRPr="007159A6">
        <w:rPr>
          <w:highlight w:val="yellow"/>
        </w:rPr>
        <w:t>Terry L. O’Clair</w:t>
      </w:r>
    </w:p>
    <w:p w14:paraId="433E95CC" w14:textId="1402241D" w:rsidR="00612818" w:rsidRPr="007159A6" w:rsidRDefault="00612818" w:rsidP="00EB76C0">
      <w:pPr>
        <w:pStyle w:val="NoSpacing"/>
        <w:jc w:val="both"/>
        <w:rPr>
          <w:highlight w:val="yellow"/>
        </w:rPr>
      </w:pPr>
      <w:r w:rsidRPr="007159A6">
        <w:rPr>
          <w:highlight w:val="yellow"/>
        </w:rPr>
        <w:t>Director</w:t>
      </w:r>
    </w:p>
    <w:p w14:paraId="60102943" w14:textId="4722C8CD" w:rsidR="003E2F56" w:rsidRDefault="00612818" w:rsidP="00EB76C0">
      <w:pPr>
        <w:pStyle w:val="NoSpacing"/>
        <w:jc w:val="both"/>
      </w:pPr>
      <w:r w:rsidRPr="007159A6">
        <w:rPr>
          <w:highlight w:val="yellow"/>
        </w:rPr>
        <w:t>Division of Air Quality</w:t>
      </w:r>
      <w:bookmarkStart w:id="0" w:name="_GoBack"/>
      <w:bookmarkEnd w:id="0"/>
    </w:p>
    <w:p w14:paraId="7217D699" w14:textId="79A706F5" w:rsidR="00EB76C0" w:rsidRDefault="00EB76C0" w:rsidP="00EB76C0">
      <w:pPr>
        <w:pStyle w:val="NoSpacing"/>
        <w:jc w:val="both"/>
      </w:pPr>
    </w:p>
    <w:sectPr w:rsidR="00EB76C0" w:rsidSect="00D269E7">
      <w:headerReference w:type="default" r:id="rId8"/>
      <w:pgSz w:w="12240" w:h="15840"/>
      <w:pgMar w:top="1440" w:right="1440" w:bottom="1440" w:left="1440" w:header="720" w:footer="720" w:gutter="0"/>
      <w:paperSrc w:first="270" w:other="2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0723" w14:textId="77777777" w:rsidR="00D269E7" w:rsidRDefault="00D269E7" w:rsidP="00D269E7">
      <w:pPr>
        <w:spacing w:after="0" w:line="240" w:lineRule="auto"/>
      </w:pPr>
      <w:r>
        <w:separator/>
      </w:r>
    </w:p>
  </w:endnote>
  <w:endnote w:type="continuationSeparator" w:id="0">
    <w:p w14:paraId="066F2978" w14:textId="77777777" w:rsidR="00D269E7" w:rsidRDefault="00D269E7" w:rsidP="00D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14FD" w14:textId="77777777" w:rsidR="00D269E7" w:rsidRDefault="00D269E7" w:rsidP="00D269E7">
      <w:pPr>
        <w:spacing w:after="0" w:line="240" w:lineRule="auto"/>
      </w:pPr>
      <w:r>
        <w:separator/>
      </w:r>
    </w:p>
  </w:footnote>
  <w:footnote w:type="continuationSeparator" w:id="0">
    <w:p w14:paraId="380DC7AE" w14:textId="77777777" w:rsidR="00D269E7" w:rsidRDefault="00D269E7" w:rsidP="00D2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3D7A" w14:textId="47407A0D" w:rsidR="00D269E7" w:rsidRDefault="00D269E7">
    <w:pPr>
      <w:pStyle w:val="Head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Pr="001F230B">
      <w:rPr>
        <w:highlight w:val="yellow"/>
      </w:rPr>
      <w:t>May 18,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50A"/>
    <w:multiLevelType w:val="hybridMultilevel"/>
    <w:tmpl w:val="C67E5F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56"/>
    <w:rsid w:val="00004406"/>
    <w:rsid w:val="001F230B"/>
    <w:rsid w:val="00205612"/>
    <w:rsid w:val="002B5E06"/>
    <w:rsid w:val="002C1D85"/>
    <w:rsid w:val="003C3850"/>
    <w:rsid w:val="003E2F56"/>
    <w:rsid w:val="00457F11"/>
    <w:rsid w:val="0048331B"/>
    <w:rsid w:val="005924BB"/>
    <w:rsid w:val="005C051A"/>
    <w:rsid w:val="00612818"/>
    <w:rsid w:val="006B6A22"/>
    <w:rsid w:val="006D6631"/>
    <w:rsid w:val="007159A6"/>
    <w:rsid w:val="007E49AF"/>
    <w:rsid w:val="008F7A89"/>
    <w:rsid w:val="00923E7F"/>
    <w:rsid w:val="00982E94"/>
    <w:rsid w:val="00A206B8"/>
    <w:rsid w:val="00B223C5"/>
    <w:rsid w:val="00D269E7"/>
    <w:rsid w:val="00DB7504"/>
    <w:rsid w:val="00DD0ACC"/>
    <w:rsid w:val="00E67AF0"/>
    <w:rsid w:val="00EB76C0"/>
    <w:rsid w:val="00EC5DCB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72FF"/>
  <w15:chartTrackingRefBased/>
  <w15:docId w15:val="{50A4EE38-6531-46A3-A554-618BD62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5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7"/>
  </w:style>
  <w:style w:type="paragraph" w:styleId="Footer">
    <w:name w:val="footer"/>
    <w:basedOn w:val="Normal"/>
    <w:link w:val="FooterChar"/>
    <w:uiPriority w:val="99"/>
    <w:unhideWhenUsed/>
    <w:rsid w:val="00D2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E7"/>
  </w:style>
  <w:style w:type="paragraph" w:styleId="EnvelopeAddress">
    <w:name w:val="envelope address"/>
    <w:basedOn w:val="Normal"/>
    <w:uiPriority w:val="99"/>
    <w:unhideWhenUsed/>
    <w:rsid w:val="00D269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D269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sites/production/files/2016-07/documents/draft_regional_haze_guidance_july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Tom A.</dc:creator>
  <cp:keywords/>
  <dc:description/>
  <cp:lastModifiedBy>Stroh, David E.</cp:lastModifiedBy>
  <cp:revision>5</cp:revision>
  <cp:lastPrinted>2018-05-18T13:29:00Z</cp:lastPrinted>
  <dcterms:created xsi:type="dcterms:W3CDTF">2018-05-18T13:30:00Z</dcterms:created>
  <dcterms:modified xsi:type="dcterms:W3CDTF">2019-07-02T19:27:00Z</dcterms:modified>
</cp:coreProperties>
</file>