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C4FF" w14:textId="77777777" w:rsidR="00AE2D42" w:rsidRDefault="00AE2D42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</w:p>
    <w:p w14:paraId="46BB0D4D" w14:textId="79FC0ACC" w:rsidR="00AE2D42" w:rsidRDefault="00AE2D42" w:rsidP="00AE2D42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AE2D42">
        <w:rPr>
          <w:rFonts w:ascii="Arial" w:eastAsia="Times New Roman" w:hAnsi="Arial" w:cs="Arial"/>
          <w:color w:val="auto"/>
          <w:sz w:val="24"/>
          <w:szCs w:val="24"/>
        </w:rPr>
        <w:t>Notes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for 7/29/2020 TSC Monthly Coordination call:</w:t>
      </w:r>
    </w:p>
    <w:p w14:paraId="158CA243" w14:textId="77777777" w:rsidR="00AE2D42" w:rsidRPr="00AE2D42" w:rsidRDefault="00AE2D42" w:rsidP="00AE2D42">
      <w:pPr>
        <w:pStyle w:val="Heading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</w:p>
    <w:p w14:paraId="561449CA" w14:textId="37A47273" w:rsidR="00030E8B" w:rsidRPr="009F1E26" w:rsidRDefault="00030E8B" w:rsidP="0058482F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B34AE0">
        <w:rPr>
          <w:rFonts w:asciiTheme="minorHAnsi" w:eastAsia="Times New Roman" w:hAnsiTheme="minorHAnsi" w:cstheme="minorHAnsi"/>
          <w:b/>
          <w:sz w:val="24"/>
          <w:szCs w:val="24"/>
        </w:rPr>
        <w:t>Ryan</w:t>
      </w:r>
    </w:p>
    <w:p w14:paraId="635FB694" w14:textId="2C15C5C7" w:rsidR="00030E8B" w:rsidRDefault="00030E8B" w:rsidP="0058482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June 24</w:t>
      </w:r>
      <w:r w:rsidR="00F6697B" w:rsidRPr="00F6697B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F6697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5492BD93" w:rsidR="00030E8B" w:rsidRDefault="00030E8B" w:rsidP="0058482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A0200">
        <w:rPr>
          <w:rFonts w:asciiTheme="minorHAnsi" w:eastAsia="Times New Roman" w:hAnsiTheme="minorHAnsi" w:cstheme="minorHAnsi"/>
          <w:sz w:val="24"/>
          <w:szCs w:val="24"/>
        </w:rPr>
        <w:t>Phil Allen</w:t>
      </w:r>
    </w:p>
    <w:p w14:paraId="1C7F9F13" w14:textId="77777777" w:rsidR="0023413C" w:rsidRDefault="0023413C" w:rsidP="00AE2D42">
      <w:pPr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39BFFE56" w14:textId="0B7EE8F6" w:rsidR="00FF5D3C" w:rsidRDefault="00030E8B" w:rsidP="0058482F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B34AE0">
        <w:rPr>
          <w:rFonts w:asciiTheme="minorHAnsi" w:eastAsia="Times New Roman" w:hAnsiTheme="minorHAnsi" w:cstheme="minorHAnsi"/>
          <w:b/>
          <w:sz w:val="24"/>
          <w:szCs w:val="24"/>
        </w:rPr>
        <w:t>June 24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F6697B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4099B31" w14:textId="59747083" w:rsidR="0058482F" w:rsidRPr="00D15D8F" w:rsidRDefault="0058482F" w:rsidP="0023413C">
      <w:pPr>
        <w:rPr>
          <w:rFonts w:asciiTheme="minorHAnsi" w:eastAsia="Times New Roman" w:hAnsiTheme="minorHAnsi" w:cstheme="minorHAnsi"/>
          <w:strike/>
          <w:sz w:val="24"/>
          <w:szCs w:val="24"/>
        </w:rPr>
      </w:pPr>
    </w:p>
    <w:p w14:paraId="2D7B1A9B" w14:textId="1EF57646" w:rsidR="0058482F" w:rsidRDefault="00F9583A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OGWG</w:t>
      </w:r>
      <w:r w:rsidR="00D15D8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 w:rsidR="00D15D8F">
        <w:rPr>
          <w:rFonts w:asciiTheme="minorHAnsi" w:eastAsia="Times New Roman" w:hAnsiTheme="minorHAnsi" w:cstheme="minorHAnsi"/>
          <w:bCs/>
          <w:sz w:val="24"/>
          <w:szCs w:val="24"/>
        </w:rPr>
        <w:t>Darla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>):</w:t>
      </w:r>
    </w:p>
    <w:p w14:paraId="6B26D0D1" w14:textId="213AF50D" w:rsidR="00757D46" w:rsidRPr="0023413C" w:rsidRDefault="00666055" w:rsidP="0023413C">
      <w:pPr>
        <w:numPr>
          <w:ilvl w:val="0"/>
          <w:numId w:val="5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scheduling 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Communication Call (every 4 months)</w:t>
      </w:r>
    </w:p>
    <w:p w14:paraId="4B25D4A4" w14:textId="4943AE02" w:rsidR="00757D46" w:rsidRPr="0023413C" w:rsidRDefault="0023413C" w:rsidP="0023413C">
      <w:pPr>
        <w:numPr>
          <w:ilvl w:val="1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Next call on </w:t>
      </w:r>
      <w:r w:rsidR="00666055" w:rsidRPr="0023413C">
        <w:rPr>
          <w:rFonts w:asciiTheme="minorHAnsi" w:eastAsia="Times New Roman" w:hAnsiTheme="minorHAnsi" w:cstheme="minorHAnsi"/>
          <w:bCs/>
          <w:sz w:val="24"/>
          <w:szCs w:val="24"/>
        </w:rPr>
        <w:t>August 11, 2020:  Draft Agenda</w:t>
      </w:r>
    </w:p>
    <w:p w14:paraId="055B7505" w14:textId="77777777" w:rsidR="00757D46" w:rsidRPr="0023413C" w:rsidRDefault="00666055" w:rsidP="0023413C">
      <w:pPr>
        <w:numPr>
          <w:ilvl w:val="2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Topic specific updates</w:t>
      </w:r>
    </w:p>
    <w:p w14:paraId="20A4E156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Invited:  CARB Reporting on Venting, Fugitive, and Flaring Emissions from Natural Gas</w:t>
      </w:r>
    </w:p>
    <w:p w14:paraId="706573A2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Invited:  BLM Additional Source Apportionment Work</w:t>
      </w:r>
    </w:p>
    <w:p w14:paraId="7F12146B" w14:textId="77777777" w:rsidR="00757D46" w:rsidRPr="0023413C" w:rsidRDefault="00666055" w:rsidP="0023413C">
      <w:pPr>
        <w:numPr>
          <w:ilvl w:val="2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Track oil &amp; gas sector and keep up to date via roundtable</w:t>
      </w:r>
    </w:p>
    <w:p w14:paraId="73A655C3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Initiatives / Rulemaking changes</w:t>
      </w:r>
    </w:p>
    <w:p w14:paraId="4F3514A6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Market downturn impacts</w:t>
      </w:r>
    </w:p>
    <w:p w14:paraId="4265F30E" w14:textId="77777777" w:rsidR="00757D46" w:rsidRPr="0023413C" w:rsidRDefault="00666055" w:rsidP="0023413C">
      <w:pPr>
        <w:numPr>
          <w:ilvl w:val="3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2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nd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Additional Reasonable Controls</w:t>
      </w:r>
    </w:p>
    <w:p w14:paraId="5C2A3641" w14:textId="79C33F4D" w:rsidR="00757D46" w:rsidRPr="0023413C" w:rsidRDefault="00666055" w:rsidP="0023413C">
      <w:pPr>
        <w:numPr>
          <w:ilvl w:val="1"/>
          <w:numId w:val="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Following call on </w:t>
      </w: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December 8, 2020</w:t>
      </w:r>
    </w:p>
    <w:p w14:paraId="49C72FA6" w14:textId="77777777" w:rsidR="0023413C" w:rsidRDefault="0023413C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9BBF856" w14:textId="5333DBF3" w:rsidR="0023413C" w:rsidRDefault="0058482F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RTOWG</w:t>
      </w:r>
      <w:r w:rsidR="00D15D8F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3413C">
        <w:rPr>
          <w:rFonts w:asciiTheme="minorHAnsi" w:eastAsia="Times New Roman" w:hAnsiTheme="minorHAnsi" w:cstheme="minorHAnsi"/>
          <w:bCs/>
          <w:sz w:val="24"/>
          <w:szCs w:val="24"/>
        </w:rPr>
        <w:t>(Mike):</w:t>
      </w:r>
    </w:p>
    <w:p w14:paraId="38FEAC9D" w14:textId="77777777" w:rsidR="00757D46" w:rsidRPr="0023413C" w:rsidRDefault="00666055" w:rsidP="0023413C">
      <w:pPr>
        <w:numPr>
          <w:ilvl w:val="0"/>
          <w:numId w:val="7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 xml:space="preserve">Workplan Progress over the Last Month </w:t>
      </w:r>
    </w:p>
    <w:p w14:paraId="1D30CB45" w14:textId="77777777" w:rsidR="00757D46" w:rsidRPr="006C3824" w:rsidRDefault="00666055" w:rsidP="006C3824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Weekly co-chair coordination calls</w:t>
      </w:r>
    </w:p>
    <w:p w14:paraId="73F2CD70" w14:textId="77777777" w:rsidR="00757D46" w:rsidRPr="006C3824" w:rsidRDefault="00666055" w:rsidP="006C3824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Weekly calls with Ramboll to keep track of modeling progress</w:t>
      </w:r>
    </w:p>
    <w:p w14:paraId="44C02471" w14:textId="77777777" w:rsidR="00757D46" w:rsidRPr="006C3824" w:rsidRDefault="00666055" w:rsidP="006C3824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RTOWG call (7/15/20)</w:t>
      </w:r>
    </w:p>
    <w:p w14:paraId="1A42EC7A" w14:textId="77777777" w:rsidR="00757D46" w:rsidRPr="0023413C" w:rsidRDefault="00666055" w:rsidP="0023413C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2028 projection emissions changes and corrections / state review of point sources by July 21st / resulting modeling schedule</w:t>
      </w:r>
    </w:p>
    <w:p w14:paraId="1476CD9A" w14:textId="77777777" w:rsidR="00757D46" w:rsidRPr="0023413C" w:rsidRDefault="00666055" w:rsidP="0023413C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Review of alternate visibility projection methods</w:t>
      </w:r>
    </w:p>
    <w:p w14:paraId="2CBA5926" w14:textId="77777777" w:rsidR="00757D46" w:rsidRPr="0023413C" w:rsidRDefault="00666055" w:rsidP="0023413C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Recommended URP adjustment method</w:t>
      </w:r>
    </w:p>
    <w:p w14:paraId="33DBAEEB" w14:textId="07010F51" w:rsidR="006C3824" w:rsidRDefault="00666055" w:rsidP="006C3824">
      <w:pPr>
        <w:numPr>
          <w:ilvl w:val="2"/>
          <w:numId w:val="7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3413C">
        <w:rPr>
          <w:rFonts w:asciiTheme="minorHAnsi" w:eastAsia="Times New Roman" w:hAnsiTheme="minorHAnsi" w:cstheme="minorHAnsi"/>
          <w:bCs/>
          <w:sz w:val="24"/>
          <w:szCs w:val="24"/>
        </w:rPr>
        <w:t>PAC1 visibility modeling results</w:t>
      </w:r>
    </w:p>
    <w:p w14:paraId="2E5D719F" w14:textId="77777777" w:rsidR="00757D46" w:rsidRPr="006C3824" w:rsidRDefault="00666055" w:rsidP="006C3824">
      <w:pPr>
        <w:numPr>
          <w:ilvl w:val="1"/>
          <w:numId w:val="10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Documents up for review on RTOWG webpage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14:paraId="51DCA279" w14:textId="77777777" w:rsidR="00757D46" w:rsidRPr="006C3824" w:rsidRDefault="00666055" w:rsidP="001B0C11">
      <w:pPr>
        <w:numPr>
          <w:ilvl w:val="2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Procedures for Making 2028 Visibility Projections using the WRAP-WAQS 2014 Modeling Platform (July 24, 2020 draft)</w:t>
      </w:r>
    </w:p>
    <w:p w14:paraId="1851E143" w14:textId="77777777" w:rsidR="00757D46" w:rsidRPr="006C3824" w:rsidRDefault="00666055" w:rsidP="001B0C11">
      <w:pPr>
        <w:numPr>
          <w:ilvl w:val="2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Adjusting the URP Glidepath Accounting for International Anthropogenic Emissions and Prescribed Fires using the WRAP 2014/2028 Modeling Platform Results (July 24, 2020 draft)</w:t>
      </w:r>
    </w:p>
    <w:p w14:paraId="183B90FF" w14:textId="77777777" w:rsidR="00757D46" w:rsidRPr="006C3824" w:rsidRDefault="00666055" w:rsidP="001B0C11">
      <w:pPr>
        <w:numPr>
          <w:ilvl w:val="1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Errors identified in 2028OTBa emission inventory (some double counting of sources), corrections are underway</w:t>
      </w:r>
    </w:p>
    <w:p w14:paraId="40364F51" w14:textId="77777777" w:rsidR="00757D46" w:rsidRPr="006C3824" w:rsidRDefault="00666055" w:rsidP="001B0C11">
      <w:pPr>
        <w:numPr>
          <w:ilvl w:val="1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Proposed updates to 2028OTBa to make 2028OTBa2</w:t>
      </w:r>
    </w:p>
    <w:p w14:paraId="7E8DB79B" w14:textId="11E889A3" w:rsidR="00757D46" w:rsidRDefault="00666055" w:rsidP="001B0C11">
      <w:pPr>
        <w:numPr>
          <w:ilvl w:val="1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 xml:space="preserve">Potential Additional Controls,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Round #1 (PAC1) CAMx simulation completed</w:t>
      </w:r>
    </w:p>
    <w:p w14:paraId="5C08DD6C" w14:textId="77777777" w:rsidR="00757D46" w:rsidRPr="006C3824" w:rsidRDefault="00666055" w:rsidP="001B0C11">
      <w:pPr>
        <w:numPr>
          <w:ilvl w:val="2"/>
          <w:numId w:val="16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 xml:space="preserve">As expected,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very small changes in projected 2028 MID dv</w:t>
      </w:r>
    </w:p>
    <w:p w14:paraId="5B235DC3" w14:textId="41804AD1" w:rsidR="00757D46" w:rsidRDefault="006C3824" w:rsidP="006C3824">
      <w:pPr>
        <w:pStyle w:val="ListParagraph"/>
        <w:numPr>
          <w:ilvl w:val="4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Mostly hundredths of dv change</w:t>
      </w:r>
    </w:p>
    <w:p w14:paraId="71C31062" w14:textId="18FB9748" w:rsidR="006C3824" w:rsidRDefault="006C3824" w:rsidP="006C3824">
      <w:pPr>
        <w:pStyle w:val="ListParagraph"/>
        <w:numPr>
          <w:ilvl w:val="4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L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argest changes in or near states with emissions reductions (e.g., NM, AZ, ND)</w:t>
      </w:r>
    </w:p>
    <w:p w14:paraId="463D8BBC" w14:textId="55372BB2" w:rsidR="00757D46" w:rsidRPr="006C3824" w:rsidRDefault="006C3824" w:rsidP="006C3824">
      <w:pPr>
        <w:pStyle w:val="ListParagraph"/>
        <w:numPr>
          <w:ilvl w:val="4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Smallest 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changes away from such states (e.g., CA</w:t>
      </w:r>
      <w:r w:rsidR="00AE2D42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42268DAE" w14:textId="77777777" w:rsidR="00757D46" w:rsidRPr="006C3824" w:rsidRDefault="00666055" w:rsidP="006C3824">
      <w:pPr>
        <w:numPr>
          <w:ilvl w:val="2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Round 2 of Potential Additional Controls (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PAC2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5C1612A4" w14:textId="77777777" w:rsidR="00757D46" w:rsidRPr="00D748A4" w:rsidRDefault="00666055" w:rsidP="006C3824">
      <w:pPr>
        <w:numPr>
          <w:ilvl w:val="2"/>
          <w:numId w:val="12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Need state emission changes to be tested by Sept. 10, 2020</w:t>
      </w:r>
    </w:p>
    <w:p w14:paraId="55D613E4" w14:textId="77777777" w:rsidR="00757D46" w:rsidRPr="006C3824" w:rsidRDefault="00666055" w:rsidP="006C3824">
      <w:pPr>
        <w:numPr>
          <w:ilvl w:val="1"/>
          <w:numId w:val="10"/>
        </w:numPr>
        <w:ind w:left="225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Caveats</w:t>
      </w: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14:paraId="10C5E467" w14:textId="77777777" w:rsidR="00757D46" w:rsidRPr="006C3824" w:rsidRDefault="00666055" w:rsidP="006C14AD">
      <w:pPr>
        <w:numPr>
          <w:ilvl w:val="1"/>
          <w:numId w:val="13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 xml:space="preserve">2028OTB emissions include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double counted O&amp;G sources</w:t>
      </w:r>
    </w:p>
    <w:p w14:paraId="12D7FD57" w14:textId="77777777" w:rsidR="00757D46" w:rsidRPr="006C3824" w:rsidRDefault="00666055" w:rsidP="006C14AD">
      <w:pPr>
        <w:numPr>
          <w:ilvl w:val="1"/>
          <w:numId w:val="14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In both 2028OTBa and 2028PAC1</w:t>
      </w:r>
    </w:p>
    <w:p w14:paraId="031EB5BF" w14:textId="77777777" w:rsidR="00757D46" w:rsidRPr="006C3824" w:rsidRDefault="00666055" w:rsidP="006C14AD">
      <w:pPr>
        <w:numPr>
          <w:ilvl w:val="1"/>
          <w:numId w:val="14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C3824">
        <w:rPr>
          <w:rFonts w:asciiTheme="minorHAnsi" w:eastAsia="Times New Roman" w:hAnsiTheme="minorHAnsi" w:cstheme="minorHAnsi"/>
          <w:bCs/>
          <w:sz w:val="24"/>
          <w:szCs w:val="24"/>
        </w:rPr>
        <w:t>Does not affect the reductions in 2028 MID due to PAC1 controls</w:t>
      </w:r>
    </w:p>
    <w:p w14:paraId="4EB55165" w14:textId="627B5945" w:rsidR="006C3824" w:rsidRPr="00D748A4" w:rsidRDefault="00D748A4" w:rsidP="001B0C11">
      <w:pPr>
        <w:numPr>
          <w:ilvl w:val="1"/>
          <w:numId w:val="14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Probably minimal e</w:t>
      </w:r>
      <w:r w:rsidR="00666055"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ffect on 2028 MID projections</w:t>
      </w:r>
    </w:p>
    <w:p w14:paraId="3FE61855" w14:textId="77777777" w:rsidR="00757D46" w:rsidRPr="001B0C11" w:rsidRDefault="00666055" w:rsidP="001B0C11">
      <w:pPr>
        <w:numPr>
          <w:ilvl w:val="0"/>
          <w:numId w:val="15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Workplan Tasks for the Next Two Months</w:t>
      </w:r>
    </w:p>
    <w:p w14:paraId="794041E7" w14:textId="0A0EDB2C" w:rsidR="00757D46" w:rsidRPr="001B0C11" w:rsidRDefault="00666055" w:rsidP="001B0C11">
      <w:pPr>
        <w:numPr>
          <w:ilvl w:val="0"/>
          <w:numId w:val="15"/>
        </w:numPr>
        <w:tabs>
          <w:tab w:val="num" w:pos="72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Assuming all sta</w:t>
      </w:r>
      <w:r w:rsidR="008168C5">
        <w:rPr>
          <w:rFonts w:asciiTheme="minorHAnsi" w:eastAsia="Times New Roman" w:hAnsiTheme="minorHAnsi" w:cstheme="minorHAnsi"/>
          <w:bCs/>
          <w:sz w:val="24"/>
          <w:szCs w:val="24"/>
        </w:rPr>
        <w:t>te updates on 2028 emissions have been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provided by July 21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st</w:t>
      </w:r>
      <w:r w:rsidR="008168C5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: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312D30A2" w14:textId="7BF5D24B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2028OTBa2 SMOKE emissions modeling </w:t>
      </w:r>
      <w:r w:rsidR="00AE2D42">
        <w:rPr>
          <w:rFonts w:asciiTheme="minorHAnsi" w:eastAsia="Times New Roman" w:hAnsiTheme="minorHAnsi" w:cstheme="minorHAnsi"/>
          <w:bCs/>
          <w:sz w:val="24"/>
          <w:szCs w:val="24"/>
        </w:rPr>
        <w:t xml:space="preserve">to be 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finished by August 4</w:t>
      </w:r>
    </w:p>
    <w:p w14:paraId="2DAF781E" w14:textId="77777777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CAMx 2028OTBa2 standard model run finished by August 11</w:t>
      </w:r>
    </w:p>
    <w:p w14:paraId="3F9FD264" w14:textId="77777777" w:rsidR="00757D46" w:rsidRPr="00D748A4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Revised 2028OTBa2 projections on TSS by August 13</w:t>
      </w:r>
    </w:p>
    <w:p w14:paraId="715728B5" w14:textId="77777777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CAMx 2028OTBa2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high-level source apportionment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run finished by August 31</w:t>
      </w:r>
    </w:p>
    <w:p w14:paraId="37C1948D" w14:textId="77777777" w:rsidR="00757D46" w:rsidRPr="001B0C11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U.S. vs. International anthropogenic, fires and natural contributions</w:t>
      </w:r>
    </w:p>
    <w:p w14:paraId="186CB52D" w14:textId="77777777" w:rsidR="00757D46" w:rsidRPr="00D748A4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Adjust URP Glidepath for International Emissions and Wildland Prescribed Fires</w:t>
      </w:r>
    </w:p>
    <w:p w14:paraId="1D6F2B8F" w14:textId="77777777" w:rsidR="00757D46" w:rsidRPr="001B0C11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Use for Dynamic Evaluation U.S. anthropogenic emissions extinction Glidepath from 2002 to zero in 2064 with 2016 (RepBase) and 2028 (OTBa2) visibility projections</w:t>
      </w:r>
    </w:p>
    <w:p w14:paraId="4CE6C6DE" w14:textId="77777777" w:rsidR="00757D46" w:rsidRPr="001B0C11" w:rsidRDefault="00666055" w:rsidP="001B0C11">
      <w:pPr>
        <w:numPr>
          <w:ilvl w:val="1"/>
          <w:numId w:val="15"/>
        </w:numPr>
        <w:tabs>
          <w:tab w:val="num" w:pos="14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CAMx 2028OTBa2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low-level source apportionment</w:t>
      </w: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 xml:space="preserve"> run finished in October</w:t>
      </w:r>
    </w:p>
    <w:p w14:paraId="4C681C26" w14:textId="76FAD716" w:rsidR="00757D46" w:rsidRDefault="00666055" w:rsidP="001B0C11">
      <w:pPr>
        <w:numPr>
          <w:ilvl w:val="2"/>
          <w:numId w:val="15"/>
        </w:numPr>
        <w:tabs>
          <w:tab w:val="num" w:pos="216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B0C11">
        <w:rPr>
          <w:rFonts w:asciiTheme="minorHAnsi" w:eastAsia="Times New Roman" w:hAnsiTheme="minorHAnsi" w:cstheme="minorHAnsi"/>
          <w:bCs/>
          <w:sz w:val="24"/>
          <w:szCs w:val="24"/>
        </w:rPr>
        <w:t>State-specific and Source Sector-specific contributions</w:t>
      </w:r>
    </w:p>
    <w:p w14:paraId="101A585D" w14:textId="295133AB" w:rsidR="008168C5" w:rsidRPr="008168C5" w:rsidRDefault="008168C5" w:rsidP="008168C5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Problems with the 7/21 2028PAC1 and RepBase emissions regarding double counting and data from the EPA 2016 Platform.  Farren so </w:t>
      </w:r>
      <w:r w:rsidRPr="00D748A4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emissions will be sent back to states for second review due August 6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0789EACC" w14:textId="51014EB4" w:rsidR="0023413C" w:rsidRDefault="0023413C" w:rsidP="0023413C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DDF857" w14:textId="3B1A9CB0" w:rsidR="008168C5" w:rsidRDefault="0058482F" w:rsidP="00B06669">
      <w:pPr>
        <w:ind w:left="360"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2F6F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RHPWG</w:t>
      </w:r>
      <w:r w:rsidR="00B06669">
        <w:rPr>
          <w:rFonts w:asciiTheme="minorHAnsi" w:eastAsia="Times New Roman" w:hAnsiTheme="minorHAnsi" w:cstheme="minorHAnsi"/>
          <w:bCs/>
          <w:sz w:val="24"/>
          <w:szCs w:val="24"/>
        </w:rPr>
        <w:t xml:space="preserve"> (D</w:t>
      </w:r>
      <w:r w:rsidR="00290089">
        <w:rPr>
          <w:rFonts w:asciiTheme="minorHAnsi" w:eastAsia="Times New Roman" w:hAnsiTheme="minorHAnsi" w:cstheme="minorHAnsi"/>
          <w:bCs/>
          <w:sz w:val="24"/>
          <w:szCs w:val="24"/>
        </w:rPr>
        <w:t>avid</w:t>
      </w:r>
      <w:r w:rsidR="00B06669">
        <w:rPr>
          <w:rFonts w:asciiTheme="minorHAnsi" w:eastAsia="Times New Roman" w:hAnsiTheme="minorHAnsi" w:cstheme="minorHAnsi"/>
          <w:bCs/>
          <w:sz w:val="24"/>
          <w:szCs w:val="24"/>
        </w:rPr>
        <w:t>)</w:t>
      </w:r>
      <w:r w:rsidR="0029008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</w:p>
    <w:p w14:paraId="6DE229BE" w14:textId="77777777" w:rsidR="008168C5" w:rsidRDefault="008168C5" w:rsidP="0058482F">
      <w:pPr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0F50445" w14:textId="77777777" w:rsidR="008168C5" w:rsidRDefault="008168C5" w:rsidP="008168C5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Most recent call 7/28</w:t>
      </w:r>
      <w:r w:rsidR="00290089"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, two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major </w:t>
      </w:r>
      <w:r w:rsidR="00290089"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topics: </w:t>
      </w:r>
    </w:p>
    <w:p w14:paraId="0617D598" w14:textId="27466B26" w:rsidR="008168C5" w:rsidRDefault="008168C5" w:rsidP="008168C5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Review of 2014 2018 RepBase EI</w:t>
      </w:r>
    </w:p>
    <w:p w14:paraId="21B8F39B" w14:textId="77777777" w:rsidR="008168C5" w:rsidRDefault="008168C5" w:rsidP="008168C5">
      <w:pPr>
        <w:pStyle w:val="ListParagraph"/>
        <w:numPr>
          <w:ilvl w:val="1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EJ and regional haze planning</w:t>
      </w:r>
      <w:r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presentation by </w:t>
      </w:r>
      <w:r w:rsidR="00290089" w:rsidRPr="008168C5">
        <w:rPr>
          <w:rFonts w:asciiTheme="minorHAnsi" w:eastAsia="Times New Roman" w:hAnsiTheme="minorHAnsi" w:cstheme="minorHAnsi"/>
          <w:bCs/>
          <w:sz w:val="24"/>
          <w:szCs w:val="24"/>
        </w:rPr>
        <w:t xml:space="preserve">D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Wu (Oregon)</w:t>
      </w:r>
    </w:p>
    <w:p w14:paraId="49871571" w14:textId="3A1E3541" w:rsidR="00B06669" w:rsidRDefault="00D748A4" w:rsidP="00B06669">
      <w:pPr>
        <w:pStyle w:val="ListParagraph"/>
        <w:numPr>
          <w:ilvl w:val="2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D sending slid</w:t>
      </w:r>
      <w:r w:rsidR="008168C5">
        <w:rPr>
          <w:rFonts w:asciiTheme="minorHAnsi" w:eastAsia="Times New Roman" w:hAnsiTheme="minorHAnsi" w:cstheme="minorHAnsi"/>
          <w:bCs/>
          <w:sz w:val="24"/>
          <w:szCs w:val="24"/>
        </w:rPr>
        <w:t>e deck to T</w:t>
      </w:r>
      <w:r w:rsidR="00B06669">
        <w:rPr>
          <w:rFonts w:asciiTheme="minorHAnsi" w:eastAsia="Times New Roman" w:hAnsiTheme="minorHAnsi" w:cstheme="minorHAnsi"/>
          <w:bCs/>
          <w:sz w:val="24"/>
          <w:szCs w:val="24"/>
        </w:rPr>
        <w:t>om for distribution</w:t>
      </w:r>
    </w:p>
    <w:p w14:paraId="3DBFA025" w14:textId="6D99049B" w:rsidR="00B06669" w:rsidRDefault="00B06669" w:rsidP="00B06669">
      <w:pPr>
        <w:pStyle w:val="ListParagraph"/>
        <w:numPr>
          <w:ilvl w:val="2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Great presentation covering assessment of EJ impacts from emissions and emission reductions</w:t>
      </w:r>
    </w:p>
    <w:p w14:paraId="2252A9A5" w14:textId="7AE06206" w:rsidR="00B06669" w:rsidRPr="00B06669" w:rsidRDefault="00B06669" w:rsidP="00B06669">
      <w:pPr>
        <w:pStyle w:val="ListParagraph"/>
        <w:numPr>
          <w:ilvl w:val="2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Tom: WRAP may be able to provide shape files to help states with EJ analyses</w:t>
      </w:r>
    </w:p>
    <w:p w14:paraId="6C0CB588" w14:textId="20D01F29" w:rsidR="00B06669" w:rsidRDefault="00B06669" w:rsidP="00B06669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Committee Function</w:t>
      </w:r>
    </w:p>
    <w:p w14:paraId="4708CDCC" w14:textId="5B84BA9A" w:rsidR="00666055" w:rsidRPr="00666055" w:rsidRDefault="00B06669" w:rsidP="00666055">
      <w:pPr>
        <w:pStyle w:val="ListParagraph"/>
        <w:numPr>
          <w:ilvl w:val="0"/>
          <w:numId w:val="20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Control Measures and EI s</w:t>
      </w:r>
      <w:r w:rsidR="00290089" w:rsidRPr="00666055">
        <w:rPr>
          <w:rFonts w:asciiTheme="minorHAnsi" w:eastAsia="Times New Roman" w:hAnsiTheme="minorHAnsi" w:cstheme="minorHAnsi"/>
          <w:bCs/>
          <w:sz w:val="24"/>
          <w:szCs w:val="24"/>
        </w:rPr>
        <w:t>ubcom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="00290089" w:rsidRPr="00666055">
        <w:rPr>
          <w:rFonts w:asciiTheme="minorHAnsi" w:eastAsia="Times New Roman" w:hAnsiTheme="minorHAnsi" w:cstheme="minorHAnsi"/>
          <w:bCs/>
          <w:sz w:val="24"/>
          <w:szCs w:val="24"/>
        </w:rPr>
        <w:t>ittees combining to reduce number of meetings.</w:t>
      </w:r>
    </w:p>
    <w:p w14:paraId="01AD1CD0" w14:textId="33EDD36F" w:rsidR="00666055" w:rsidRPr="00666055" w:rsidRDefault="00666055" w:rsidP="00666055">
      <w:pPr>
        <w:pStyle w:val="ListParagraph"/>
        <w:numPr>
          <w:ilvl w:val="0"/>
          <w:numId w:val="21"/>
        </w:numPr>
        <w:tabs>
          <w:tab w:val="left" w:pos="5040"/>
        </w:tabs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Next RHPWG meeting possibly in Sept. </w:t>
      </w:r>
      <w:r w:rsidR="00D748A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As noted above, Farren has corrected some double counting of EGU emissions and will send out spreadsheet with modified emissions for review by states.</w:t>
      </w:r>
    </w:p>
    <w:p w14:paraId="6F19F608" w14:textId="6BD22FF9" w:rsidR="00B06669" w:rsidRPr="00666055" w:rsidRDefault="00B06669" w:rsidP="00666055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>Deadlines will be delayed: submittal of PAC2 2028 now set for 10 sept</w:t>
      </w:r>
    </w:p>
    <w:p w14:paraId="7989BF66" w14:textId="026B689D" w:rsidR="00B06669" w:rsidRPr="00666055" w:rsidRDefault="00B06669" w:rsidP="00666055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RepBase will be rerun to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>correct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 for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 errors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in data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from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the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2016 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EPA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>mode</w:t>
      </w:r>
      <w:r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ling platform, e.g., </w:t>
      </w:r>
      <w:r w:rsidR="00A258C3" w:rsidRPr="00666055">
        <w:rPr>
          <w:rFonts w:asciiTheme="minorHAnsi" w:eastAsia="Times New Roman" w:hAnsiTheme="minorHAnsi" w:cstheme="minorHAnsi"/>
          <w:bCs/>
          <w:sz w:val="24"/>
          <w:szCs w:val="24"/>
        </w:rPr>
        <w:t xml:space="preserve">Oregon dust. </w:t>
      </w:r>
    </w:p>
    <w:p w14:paraId="03BF7EB6" w14:textId="77777777" w:rsidR="0058482F" w:rsidRPr="0058482F" w:rsidRDefault="0058482F" w:rsidP="0058482F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7F70256E" w14:textId="0D1D687C" w:rsidR="000B48D1" w:rsidRDefault="00030E8B" w:rsidP="0058482F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E108FB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3C3E0A87" w14:textId="77777777" w:rsidR="00B06669" w:rsidRPr="000B48D1" w:rsidRDefault="00B06669" w:rsidP="00B0666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E8DEA2A" w14:textId="77777777" w:rsidR="00666055" w:rsidRDefault="00F6697B" w:rsidP="00666055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Potential Future Projects</w:t>
      </w:r>
      <w:r w:rsidRPr="00B45CB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C19AB">
        <w:rPr>
          <w:rFonts w:asciiTheme="minorHAnsi" w:eastAsia="Times New Roman" w:hAnsiTheme="minorHAnsi" w:cstheme="minorHAnsi"/>
          <w:sz w:val="24"/>
          <w:szCs w:val="24"/>
        </w:rPr>
        <w:t>Prioritization</w:t>
      </w:r>
      <w:r w:rsidR="00FA78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66055">
        <w:rPr>
          <w:rFonts w:asciiTheme="minorHAnsi" w:eastAsia="Times New Roman" w:hAnsiTheme="minorHAnsi" w:cstheme="minorHAnsi"/>
          <w:sz w:val="24"/>
          <w:szCs w:val="24"/>
        </w:rPr>
        <w:t>(</w:t>
      </w:r>
      <w:r w:rsidR="00652E10">
        <w:rPr>
          <w:rFonts w:asciiTheme="minorHAnsi" w:eastAsia="Times New Roman" w:hAnsiTheme="minorHAnsi" w:cstheme="minorHAnsi"/>
          <w:sz w:val="24"/>
          <w:szCs w:val="24"/>
        </w:rPr>
        <w:t>Ryan</w:t>
      </w:r>
      <w:r w:rsidR="00666055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235F0CC0" w14:textId="08BF0086" w:rsidR="00666055" w:rsidRDefault="00666055" w:rsidP="00666055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TS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C had wanted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 xml:space="preserve"> feedback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 on possible future projects, but n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 xml:space="preserve">ot much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detailed 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 xml:space="preserve">feedback, except </w:t>
      </w:r>
      <w:r>
        <w:rPr>
          <w:rFonts w:asciiTheme="minorHAnsi" w:eastAsia="Times New Roman" w:hAnsiTheme="minorHAnsi" w:cstheme="minorHAnsi"/>
          <w:sz w:val="24"/>
          <w:szCs w:val="24"/>
        </w:rPr>
        <w:t>Farren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on smoke management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 and burning</w:t>
      </w:r>
    </w:p>
    <w:p w14:paraId="682DE265" w14:textId="56E3D190" w:rsidR="00D748A4" w:rsidRDefault="00D748A4" w:rsidP="00666055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Farre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>n</w:t>
      </w:r>
      <w:r w:rsidR="0066605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0BB9193E" w14:textId="4D003F5F" w:rsidR="00D748A4" w:rsidRPr="00D748A4" w:rsidRDefault="00A258C3" w:rsidP="00D748A4">
      <w:pPr>
        <w:pStyle w:val="ListParagraph"/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748A4">
        <w:rPr>
          <w:rFonts w:asciiTheme="minorHAnsi" w:eastAsia="Times New Roman" w:hAnsiTheme="minorHAnsi" w:cstheme="minorHAnsi"/>
          <w:sz w:val="24"/>
          <w:szCs w:val="24"/>
        </w:rPr>
        <w:t>compile different state smoke m</w:t>
      </w:r>
      <w:r w:rsidR="00D748A4" w:rsidRPr="00D748A4">
        <w:rPr>
          <w:rFonts w:asciiTheme="minorHAnsi" w:eastAsia="Times New Roman" w:hAnsiTheme="minorHAnsi" w:cstheme="minorHAnsi"/>
          <w:sz w:val="24"/>
          <w:szCs w:val="24"/>
        </w:rPr>
        <w:t>anagement plans to</w:t>
      </w:r>
      <w:r w:rsidRPr="00D748A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provide as </w:t>
      </w:r>
      <w:r w:rsidRPr="00D748A4">
        <w:rPr>
          <w:rFonts w:asciiTheme="minorHAnsi" w:eastAsia="Times New Roman" w:hAnsiTheme="minorHAnsi" w:cstheme="minorHAnsi"/>
          <w:sz w:val="24"/>
          <w:szCs w:val="24"/>
        </w:rPr>
        <w:t>benefit sta</w:t>
      </w:r>
      <w:r w:rsidR="00D748A4" w:rsidRPr="00D748A4">
        <w:rPr>
          <w:rFonts w:asciiTheme="minorHAnsi" w:eastAsia="Times New Roman" w:hAnsiTheme="minorHAnsi" w:cstheme="minorHAnsi"/>
          <w:sz w:val="24"/>
          <w:szCs w:val="24"/>
        </w:rPr>
        <w:t>tes, possibly in a matrix</w:t>
      </w:r>
    </w:p>
    <w:p w14:paraId="67970A8E" w14:textId="287CCCF1" w:rsidR="00D748A4" w:rsidRDefault="00A258C3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sz w:val="24"/>
          <w:szCs w:val="24"/>
        </w:rPr>
        <w:t>create rea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 xml:space="preserve">l 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time tracking 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 xml:space="preserve">of 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>bur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>nin</w:t>
      </w:r>
      <w:r w:rsidRPr="00666055">
        <w:rPr>
          <w:rFonts w:asciiTheme="minorHAnsi" w:eastAsia="Times New Roman" w:hAnsiTheme="minorHAnsi" w:cstheme="minorHAnsi"/>
          <w:sz w:val="24"/>
          <w:szCs w:val="24"/>
        </w:rPr>
        <w:t xml:space="preserve">g activity so interested 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>parties could see in real time</w:t>
      </w:r>
    </w:p>
    <w:p w14:paraId="56CF0DD8" w14:textId="77F8760E" w:rsidR="00D748A4" w:rsidRDefault="00D748A4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tracking would not be of emissions but of permitted activity</w:t>
      </w:r>
    </w:p>
    <w:p w14:paraId="58DB7F49" w14:textId="484D0F94" w:rsidR="00D748A4" w:rsidRDefault="00D748A4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FETS not built to operate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at this level, </w:t>
      </w:r>
      <w:r w:rsidR="00A258C3" w:rsidRPr="00666055">
        <w:rPr>
          <w:rFonts w:asciiTheme="minorHAnsi" w:eastAsia="Times New Roman" w:hAnsiTheme="minorHAnsi" w:cstheme="minorHAnsi"/>
          <w:sz w:val="24"/>
          <w:szCs w:val="24"/>
        </w:rPr>
        <w:t>except as storage</w:t>
      </w:r>
    </w:p>
    <w:p w14:paraId="3AF6BEEA" w14:textId="77777777" w:rsidR="00D748A4" w:rsidRDefault="00A258C3" w:rsidP="00D748A4">
      <w:pPr>
        <w:numPr>
          <w:ilvl w:val="4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666055">
        <w:rPr>
          <w:rFonts w:asciiTheme="minorHAnsi" w:eastAsia="Times New Roman" w:hAnsiTheme="minorHAnsi" w:cstheme="minorHAnsi"/>
          <w:sz w:val="24"/>
          <w:szCs w:val="24"/>
        </w:rPr>
        <w:t>not sure of feasibility across multip</w:t>
      </w:r>
      <w:r w:rsidR="00D748A4">
        <w:rPr>
          <w:rFonts w:asciiTheme="minorHAnsi" w:eastAsia="Times New Roman" w:hAnsiTheme="minorHAnsi" w:cstheme="minorHAnsi"/>
          <w:sz w:val="24"/>
          <w:szCs w:val="24"/>
        </w:rPr>
        <w:t>le agencies in multiple states</w:t>
      </w:r>
    </w:p>
    <w:p w14:paraId="7D2C7145" w14:textId="7B2865CD" w:rsidR="00D748A4" w:rsidRDefault="00D748A4" w:rsidP="00D748A4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Tom: </w:t>
      </w:r>
      <w:r w:rsidR="00A258C3" w:rsidRPr="00D748A4">
        <w:rPr>
          <w:rFonts w:asciiTheme="minorHAnsi" w:eastAsia="Times New Roman" w:hAnsiTheme="minorHAnsi" w:cstheme="minorHAnsi"/>
          <w:sz w:val="24"/>
          <w:szCs w:val="24"/>
        </w:rPr>
        <w:t>WRAP maps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already provide</w:t>
      </w:r>
      <w:r w:rsidR="00A258C3" w:rsidRPr="00D748A4">
        <w:rPr>
          <w:rFonts w:asciiTheme="minorHAnsi" w:eastAsia="Times New Roman" w:hAnsiTheme="minorHAnsi" w:cstheme="minorHAnsi"/>
          <w:sz w:val="24"/>
          <w:szCs w:val="24"/>
        </w:rPr>
        <w:t xml:space="preserve"> links to different state plans, so could be a start to Fa</w:t>
      </w:r>
      <w:r>
        <w:rPr>
          <w:rFonts w:asciiTheme="minorHAnsi" w:eastAsia="Times New Roman" w:hAnsiTheme="minorHAnsi" w:cstheme="minorHAnsi"/>
          <w:sz w:val="24"/>
          <w:szCs w:val="24"/>
        </w:rPr>
        <w:t>rren’s idea. O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ne prob</w:t>
      </w:r>
      <w:r>
        <w:rPr>
          <w:rFonts w:asciiTheme="minorHAnsi" w:eastAsia="Times New Roman" w:hAnsiTheme="minorHAnsi" w:cstheme="minorHAnsi"/>
          <w:sz w:val="24"/>
          <w:szCs w:val="24"/>
        </w:rPr>
        <w:t>lem is updating fire activit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 xml:space="preserve">y from what was requested and what was </w:t>
      </w:r>
      <w:r>
        <w:rPr>
          <w:rFonts w:asciiTheme="minorHAnsi" w:eastAsia="Times New Roman" w:hAnsiTheme="minorHAnsi" w:cstheme="minorHAnsi"/>
          <w:sz w:val="24"/>
          <w:szCs w:val="24"/>
        </w:rPr>
        <w:t>actually bur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ned.  Need to get states and tribes to make data available.  Add</w:t>
      </w:r>
      <w:r>
        <w:rPr>
          <w:rFonts w:asciiTheme="minorHAnsi" w:eastAsia="Times New Roman" w:hAnsiTheme="minorHAnsi" w:cstheme="minorHAnsi"/>
          <w:sz w:val="24"/>
          <w:szCs w:val="24"/>
        </w:rPr>
        <w:t>res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s in more detail in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future discussion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s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Question: 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>
        <w:rPr>
          <w:rFonts w:asciiTheme="minorHAnsi" w:eastAsia="Times New Roman" w:hAnsiTheme="minorHAnsi" w:cstheme="minorHAnsi"/>
          <w:sz w:val="24"/>
          <w:szCs w:val="24"/>
        </w:rPr>
        <w:t>we wa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nt to put regional resou</w:t>
      </w: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ces into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this</w:t>
      </w:r>
      <w:r w:rsidR="005F6C9F" w:rsidRPr="00D748A4">
        <w:rPr>
          <w:rFonts w:asciiTheme="minorHAnsi" w:eastAsia="Times New Roman" w:hAnsiTheme="minorHAnsi" w:cstheme="minorHAnsi"/>
          <w:sz w:val="24"/>
          <w:szCs w:val="24"/>
        </w:rPr>
        <w:t>, or provide mechanism for communication betw</w:t>
      </w:r>
      <w:r>
        <w:rPr>
          <w:rFonts w:asciiTheme="minorHAnsi" w:eastAsia="Times New Roman" w:hAnsiTheme="minorHAnsi" w:cstheme="minorHAnsi"/>
          <w:sz w:val="24"/>
          <w:szCs w:val="24"/>
        </w:rPr>
        <w:t>een adjacent states.</w:t>
      </w:r>
    </w:p>
    <w:p w14:paraId="253D8070" w14:textId="3E55EDFD" w:rsidR="00A258C3" w:rsidRPr="00D748A4" w:rsidRDefault="00D748A4" w:rsidP="00D748A4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Send comments to R</w:t>
      </w:r>
      <w:r w:rsidR="00A258C3" w:rsidRPr="00D748A4">
        <w:rPr>
          <w:rFonts w:asciiTheme="minorHAnsi" w:eastAsia="Times New Roman" w:hAnsiTheme="minorHAnsi" w:cstheme="minorHAnsi"/>
          <w:sz w:val="24"/>
          <w:szCs w:val="24"/>
        </w:rPr>
        <w:t xml:space="preserve">yan and Julie. </w:t>
      </w:r>
    </w:p>
    <w:p w14:paraId="77825FD6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5FA38595" w14:textId="77777777" w:rsidR="00403FE3" w:rsidRPr="00403FE3" w:rsidRDefault="00403FE3" w:rsidP="00403FE3">
      <w:pPr>
        <w:numPr>
          <w:ilvl w:val="0"/>
          <w:numId w:val="1"/>
        </w:numPr>
        <w:ind w:left="1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 (25 minutes)</w:t>
      </w:r>
    </w:p>
    <w:p w14:paraId="1F489440" w14:textId="77777777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Project Documents for review and feedback on WRAP website</w:t>
      </w:r>
    </w:p>
    <w:p w14:paraId="3E6C1D0A" w14:textId="77777777" w:rsidR="00403FE3" w:rsidRPr="00403FE3" w:rsidRDefault="00403FE3" w:rsidP="00403FE3">
      <w:pPr>
        <w:numPr>
          <w:ilvl w:val="2"/>
          <w:numId w:val="4"/>
        </w:numPr>
        <w:ind w:left="153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“Applying Advanced Earth Science Data for Aiding Air Quality Forecasting and Management Decisions”</w:t>
      </w:r>
    </w:p>
    <w:p w14:paraId="54A2CE8A" w14:textId="77777777" w:rsidR="00403FE3" w:rsidRPr="00403FE3" w:rsidRDefault="00403FE3" w:rsidP="00403FE3">
      <w:pPr>
        <w:numPr>
          <w:ilvl w:val="2"/>
          <w:numId w:val="4"/>
        </w:numPr>
        <w:ind w:left="153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“Applying Earth Science Data to Air Quality Management and Public Health Decisions”</w:t>
      </w:r>
    </w:p>
    <w:p w14:paraId="04DA7009" w14:textId="77777777" w:rsidR="00403FE3" w:rsidRPr="00403FE3" w:rsidRDefault="00403FE3" w:rsidP="00403FE3">
      <w:pPr>
        <w:rPr>
          <w:rFonts w:asciiTheme="minorHAnsi" w:eastAsia="Times New Roman" w:hAnsiTheme="minorHAnsi" w:cstheme="minorHAnsi"/>
          <w:color w:val="0563C1"/>
          <w:sz w:val="24"/>
          <w:szCs w:val="24"/>
          <w:u w:val="single"/>
        </w:rPr>
      </w:pPr>
    </w:p>
    <w:p w14:paraId="4B08ABF6" w14:textId="77777777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Report out on the Storyboard/TSS engagement – RHPWG co-chairs </w:t>
      </w:r>
    </w:p>
    <w:p w14:paraId="26B9DA08" w14:textId="77777777" w:rsidR="00403FE3" w:rsidRPr="00403FE3" w:rsidRDefault="00403FE3" w:rsidP="00403FE3">
      <w:pPr>
        <w:numPr>
          <w:ilvl w:val="2"/>
          <w:numId w:val="4"/>
        </w:numPr>
        <w:ind w:left="153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The data behind analytics for storyboard, such as visitation numbers, are still in progress.</w:t>
      </w:r>
    </w:p>
    <w:p w14:paraId="42EE1A55" w14:textId="77777777" w:rsidR="00403FE3" w:rsidRPr="00403FE3" w:rsidRDefault="00403FE3" w:rsidP="00403FE3">
      <w:pPr>
        <w:numPr>
          <w:ilvl w:val="2"/>
          <w:numId w:val="4"/>
        </w:numPr>
        <w:ind w:left="153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Tom will disseminate report and TSC can  talk about next month</w:t>
      </w:r>
    </w:p>
    <w:p w14:paraId="4374F5E9" w14:textId="77777777" w:rsidR="00403FE3" w:rsidRPr="00403FE3" w:rsidRDefault="00403FE3" w:rsidP="00403FE3">
      <w:pPr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790ACCF9" w14:textId="55119802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webinars (</w:t>
      </w:r>
      <w:r w:rsidRPr="006C0D5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July 23</w:t>
      </w:r>
      <w:r w:rsidRPr="006C0D53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</w:rPr>
        <w:t>rd</w:t>
      </w:r>
      <w:r w:rsidRPr="00403FE3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&amp; </w:t>
      </w:r>
      <w:hyperlink r:id="rId5" w:history="1">
        <w:r w:rsidRPr="006C0D5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</w:rPr>
          <w:t>30</w:t>
        </w:r>
        <w:r w:rsidRPr="006C0D53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vertAlign w:val="superscript"/>
          </w:rPr>
          <w:t>th</w:t>
        </w:r>
      </w:hyperlink>
      <w:r w:rsidRPr="00403FE3">
        <w:rPr>
          <w:rFonts w:asciiTheme="minorHAnsi" w:eastAsia="Times New Roman" w:hAnsiTheme="minorHAnsi" w:cstheme="minorHAnsi"/>
          <w:sz w:val="24"/>
          <w:szCs w:val="24"/>
        </w:rPr>
        <w:t>) – Tom</w:t>
      </w:r>
    </w:p>
    <w:p w14:paraId="2E666ACA" w14:textId="77777777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Next workplan webinar on 7/30.  Modeling is currently in a bit of a lull until states complete review of revised EI. </w:t>
      </w:r>
    </w:p>
    <w:p w14:paraId="2A1B8473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7CB50B09" w14:textId="77777777" w:rsidR="00403FE3" w:rsidRPr="00403FE3" w:rsidRDefault="00403FE3" w:rsidP="00403FE3">
      <w:pPr>
        <w:numPr>
          <w:ilvl w:val="1"/>
          <w:numId w:val="4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TSC Administrative Discussion – organizational changes and meeting schedule</w:t>
      </w:r>
    </w:p>
    <w:p w14:paraId="4875619D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5A2E9BED" w14:textId="60DDD675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RHPWG consolidating subcommittee into the WG, and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for the future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there will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likely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be less frequent updates</w:t>
      </w:r>
    </w:p>
    <w:p w14:paraId="4920AF69" w14:textId="1CCDC68C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As the TSC moves forward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it is considering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changes and improvements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 that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might be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>of the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transition.  Also there are current openings on the TSC, especially for </w:t>
      </w:r>
      <w:r w:rsidRPr="00403FE3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local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representatives.</w:t>
      </w:r>
    </w:p>
    <w:p w14:paraId="05F62098" w14:textId="358E489A" w:rsidR="00403FE3" w:rsidRPr="00403FE3" w:rsidRDefault="00403FE3" w:rsidP="00403FE3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Rich 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Grimaldi 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is comfortable from the perspective of the local lever, and the TSC has been a big benefit to him as local rep.  </w:t>
      </w:r>
    </w:p>
    <w:p w14:paraId="019272FC" w14:textId="6CB343B3" w:rsidR="00403FE3" w:rsidRPr="007E260B" w:rsidRDefault="00403FE3" w:rsidP="007E260B">
      <w:pPr>
        <w:numPr>
          <w:ilvl w:val="0"/>
          <w:numId w:val="23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General comment: most are comfortable with the current TSC structure and</w:t>
      </w:r>
      <w:r w:rsidR="006C0D53">
        <w:rPr>
          <w:rFonts w:asciiTheme="minorHAnsi" w:eastAsia="Times New Roman" w:hAnsiTheme="minorHAnsi" w:cstheme="minorHAnsi"/>
          <w:sz w:val="24"/>
          <w:szCs w:val="24"/>
        </w:rPr>
        <w:t xml:space="preserve"> level of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 xml:space="preserve"> engagement, including frequency of meetings and topics.</w:t>
      </w:r>
    </w:p>
    <w:p w14:paraId="6A51D1CF" w14:textId="77777777" w:rsidR="00403FE3" w:rsidRPr="00403FE3" w:rsidRDefault="00403FE3" w:rsidP="00403FE3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5FEAEF1B" w14:textId="77777777" w:rsidR="00403FE3" w:rsidRPr="00403FE3" w:rsidRDefault="00403FE3" w:rsidP="00403FE3">
      <w:pPr>
        <w:numPr>
          <w:ilvl w:val="0"/>
          <w:numId w:val="1"/>
        </w:numPr>
        <w:ind w:left="1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b/>
          <w:sz w:val="24"/>
          <w:szCs w:val="24"/>
        </w:rPr>
        <w:t>Open Mic – Open discussion of future call topics/discussions/format/etc. (5 minutes)</w:t>
      </w:r>
    </w:p>
    <w:p w14:paraId="52E3BC3E" w14:textId="77777777" w:rsidR="00403FE3" w:rsidRPr="00403FE3" w:rsidRDefault="00403FE3" w:rsidP="00403FE3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5B983C6" w14:textId="77777777" w:rsidR="00403FE3" w:rsidRPr="00403FE3" w:rsidRDefault="00403FE3" w:rsidP="00403FE3">
      <w:pPr>
        <w:numPr>
          <w:ilvl w:val="0"/>
          <w:numId w:val="1"/>
        </w:numPr>
        <w:ind w:left="18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b/>
          <w:sz w:val="24"/>
          <w:szCs w:val="24"/>
        </w:rPr>
        <w:t>Next Steps and Wrap up (5 minutes) – Ryan</w:t>
      </w:r>
    </w:p>
    <w:p w14:paraId="3900EFF6" w14:textId="77777777" w:rsidR="00403FE3" w:rsidRPr="00403FE3" w:rsidRDefault="00403FE3" w:rsidP="00403FE3">
      <w:pPr>
        <w:ind w:left="720"/>
        <w:contextualSpacing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4029092" w14:textId="77777777" w:rsidR="00403FE3" w:rsidRPr="00403FE3" w:rsidRDefault="00403FE3" w:rsidP="00403FE3">
      <w:pPr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Next meeting will focus on smoke management issues.</w:t>
      </w:r>
    </w:p>
    <w:p w14:paraId="217139EF" w14:textId="77777777" w:rsidR="00403FE3" w:rsidRPr="00403FE3" w:rsidRDefault="00403FE3" w:rsidP="00403FE3">
      <w:pPr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Review next steps and action items from call</w:t>
      </w:r>
    </w:p>
    <w:p w14:paraId="0FC85A46" w14:textId="77777777" w:rsidR="00403FE3" w:rsidRPr="00403FE3" w:rsidRDefault="00403FE3" w:rsidP="00403FE3">
      <w:pPr>
        <w:numPr>
          <w:ilvl w:val="0"/>
          <w:numId w:val="24"/>
        </w:numPr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D’s EJ slides will be sent out along with report from Tom</w:t>
      </w:r>
    </w:p>
    <w:p w14:paraId="143BD7BE" w14:textId="77777777" w:rsidR="00403FE3" w:rsidRPr="00403FE3" w:rsidRDefault="00403FE3" w:rsidP="00403FE3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56D06339" w14:textId="77777777" w:rsidR="00403FE3" w:rsidRPr="00403FE3" w:rsidRDefault="00403FE3" w:rsidP="00403FE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403FE3">
        <w:rPr>
          <w:rFonts w:asciiTheme="minorHAnsi" w:eastAsia="Times New Roman" w:hAnsiTheme="minorHAnsi" w:cstheme="minorHAnsi"/>
          <w:sz w:val="24"/>
          <w:szCs w:val="24"/>
        </w:rPr>
        <w:t>Next call – August 26</w:t>
      </w:r>
      <w:r w:rsidRPr="00403FE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403FE3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137B5B53" w14:textId="480F0C6B" w:rsidR="00403FE3" w:rsidRPr="00403FE3" w:rsidRDefault="007E260B" w:rsidP="00403FE3">
      <w:pPr>
        <w:numPr>
          <w:ilvl w:val="3"/>
          <w:numId w:val="4"/>
        </w:numPr>
        <w:ind w:left="1260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Scheduled n</w:t>
      </w:r>
      <w:r w:rsidR="00403FE3" w:rsidRPr="00403FE3">
        <w:rPr>
          <w:rFonts w:asciiTheme="minorHAnsi" w:eastAsia="Times New Roman" w:hAnsiTheme="minorHAnsi" w:cstheme="minorHAnsi"/>
          <w:sz w:val="24"/>
          <w:szCs w:val="24"/>
        </w:rPr>
        <w:t>ote taker, Jason Walker</w:t>
      </w:r>
    </w:p>
    <w:p w14:paraId="19310894" w14:textId="464F708C" w:rsidR="00E15FB9" w:rsidRPr="00403FE3" w:rsidRDefault="00E15FB9" w:rsidP="00403FE3">
      <w:pPr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</w:p>
    <w:sectPr w:rsidR="00E15FB9" w:rsidRPr="00403FE3" w:rsidSect="001B0C1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D5"/>
    <w:multiLevelType w:val="hybridMultilevel"/>
    <w:tmpl w:val="476437B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76B3D"/>
    <w:multiLevelType w:val="hybridMultilevel"/>
    <w:tmpl w:val="B45225B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69503C1"/>
    <w:multiLevelType w:val="hybridMultilevel"/>
    <w:tmpl w:val="783E5AD6"/>
    <w:lvl w:ilvl="0" w:tplc="30B85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9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AE452">
      <w:start w:val="2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B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6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A2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A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81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2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B94FAF"/>
    <w:multiLevelType w:val="hybridMultilevel"/>
    <w:tmpl w:val="891807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57668DE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687304"/>
    <w:multiLevelType w:val="hybridMultilevel"/>
    <w:tmpl w:val="77649D32"/>
    <w:lvl w:ilvl="0" w:tplc="16FE89E8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E57668DE">
      <w:numFmt w:val="bullet"/>
      <w:lvlText w:val="-"/>
      <w:lvlJc w:val="left"/>
      <w:pPr>
        <w:ind w:left="294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8B17DB6"/>
    <w:multiLevelType w:val="hybridMultilevel"/>
    <w:tmpl w:val="E8C6BB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54502"/>
    <w:multiLevelType w:val="hybridMultilevel"/>
    <w:tmpl w:val="984407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57668DE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A82E9F"/>
    <w:multiLevelType w:val="hybridMultilevel"/>
    <w:tmpl w:val="9B0ED426"/>
    <w:lvl w:ilvl="0" w:tplc="40462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9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B9F0">
      <w:start w:val="248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DBA0EBC">
      <w:start w:val="248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2E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26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8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89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06500C"/>
    <w:multiLevelType w:val="hybridMultilevel"/>
    <w:tmpl w:val="64C8CA5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28260288"/>
    <w:multiLevelType w:val="hybridMultilevel"/>
    <w:tmpl w:val="86A4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FE89E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4" w:tplc="E57668DE">
      <w:numFmt w:val="bullet"/>
      <w:lvlText w:val="-"/>
      <w:lvlJc w:val="left"/>
      <w:pPr>
        <w:ind w:left="2970" w:hanging="360"/>
      </w:pPr>
      <w:rPr>
        <w:rFonts w:ascii="Calibri" w:eastAsia="Times New Roman" w:hAnsi="Calibri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B4165"/>
    <w:multiLevelType w:val="hybridMultilevel"/>
    <w:tmpl w:val="8DD46FF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16FE89E8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2" w:tplc="E57668D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</w:rPr>
    </w:lvl>
    <w:lvl w:ilvl="3" w:tplc="EBA00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FD1CB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DCD8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51E2D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CAFCE00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AA96D6D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13" w15:restartNumberingAfterBreak="0">
    <w:nsid w:val="327853D3"/>
    <w:multiLevelType w:val="hybridMultilevel"/>
    <w:tmpl w:val="F342DF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7668DE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46913"/>
    <w:multiLevelType w:val="hybridMultilevel"/>
    <w:tmpl w:val="7C0A12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D51814"/>
    <w:multiLevelType w:val="hybridMultilevel"/>
    <w:tmpl w:val="A4E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E89E8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D32"/>
    <w:multiLevelType w:val="hybridMultilevel"/>
    <w:tmpl w:val="5D9822D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657407B"/>
    <w:multiLevelType w:val="hybridMultilevel"/>
    <w:tmpl w:val="34FE6D8E"/>
    <w:lvl w:ilvl="0" w:tplc="16FE89E8">
      <w:start w:val="1"/>
      <w:numFmt w:val="bullet"/>
      <w:lvlText w:val="•"/>
      <w:lvlJc w:val="left"/>
      <w:pPr>
        <w:ind w:left="171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6635BEB"/>
    <w:multiLevelType w:val="hybridMultilevel"/>
    <w:tmpl w:val="3FC26DAE"/>
    <w:lvl w:ilvl="0" w:tplc="16FE89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55E47D6">
      <w:start w:val="24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E0AE804">
      <w:start w:val="24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EB66AA0">
      <w:start w:val="248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B4206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C8ACC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F9A2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39EB7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BD2AE0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5DBB269A"/>
    <w:multiLevelType w:val="hybridMultilevel"/>
    <w:tmpl w:val="1D8CEF18"/>
    <w:lvl w:ilvl="0" w:tplc="16FE89E8">
      <w:start w:val="1"/>
      <w:numFmt w:val="bullet"/>
      <w:lvlText w:val="•"/>
      <w:lvlJc w:val="left"/>
      <w:pPr>
        <w:ind w:left="27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5E1C17D3"/>
    <w:multiLevelType w:val="hybridMultilevel"/>
    <w:tmpl w:val="463E3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6755F9E"/>
    <w:multiLevelType w:val="hybridMultilevel"/>
    <w:tmpl w:val="0B9CD33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80304BE"/>
    <w:multiLevelType w:val="hybridMultilevel"/>
    <w:tmpl w:val="1FE617BC"/>
    <w:lvl w:ilvl="0" w:tplc="ED8228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20A616A">
      <w:start w:val="24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F96CA5C">
      <w:start w:val="24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44F3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77CDC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0F87B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7CC2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394C5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BB2E61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3" w15:restartNumberingAfterBreak="0">
    <w:nsid w:val="6BFB3A70"/>
    <w:multiLevelType w:val="hybridMultilevel"/>
    <w:tmpl w:val="267E3B7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18"/>
  </w:num>
  <w:num w:numId="6">
    <w:abstractNumId w:val="13"/>
  </w:num>
  <w:num w:numId="7">
    <w:abstractNumId w:val="22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20"/>
  </w:num>
  <w:num w:numId="14">
    <w:abstractNumId w:val="4"/>
  </w:num>
  <w:num w:numId="15">
    <w:abstractNumId w:val="12"/>
  </w:num>
  <w:num w:numId="16">
    <w:abstractNumId w:val="15"/>
  </w:num>
  <w:num w:numId="17">
    <w:abstractNumId w:val="5"/>
  </w:num>
  <w:num w:numId="18">
    <w:abstractNumId w:val="19"/>
  </w:num>
  <w:num w:numId="19">
    <w:abstractNumId w:val="16"/>
  </w:num>
  <w:num w:numId="20">
    <w:abstractNumId w:val="23"/>
  </w:num>
  <w:num w:numId="21">
    <w:abstractNumId w:val="2"/>
  </w:num>
  <w:num w:numId="22">
    <w:abstractNumId w:val="10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7209C"/>
    <w:rsid w:val="00085DF7"/>
    <w:rsid w:val="000A1951"/>
    <w:rsid w:val="000B48D1"/>
    <w:rsid w:val="000B7ABF"/>
    <w:rsid w:val="00103870"/>
    <w:rsid w:val="001206AD"/>
    <w:rsid w:val="00121051"/>
    <w:rsid w:val="001259BD"/>
    <w:rsid w:val="00127172"/>
    <w:rsid w:val="00141447"/>
    <w:rsid w:val="001551C3"/>
    <w:rsid w:val="0016739F"/>
    <w:rsid w:val="00172CD6"/>
    <w:rsid w:val="001A0161"/>
    <w:rsid w:val="001B0C11"/>
    <w:rsid w:val="001E30BB"/>
    <w:rsid w:val="001E4A0D"/>
    <w:rsid w:val="001E5217"/>
    <w:rsid w:val="00205178"/>
    <w:rsid w:val="002120F9"/>
    <w:rsid w:val="00220867"/>
    <w:rsid w:val="0023413C"/>
    <w:rsid w:val="00277C66"/>
    <w:rsid w:val="00281AE1"/>
    <w:rsid w:val="00286D68"/>
    <w:rsid w:val="0028766A"/>
    <w:rsid w:val="00290089"/>
    <w:rsid w:val="00292F6F"/>
    <w:rsid w:val="002E18D8"/>
    <w:rsid w:val="002F123D"/>
    <w:rsid w:val="00336CCC"/>
    <w:rsid w:val="00345616"/>
    <w:rsid w:val="003466C8"/>
    <w:rsid w:val="00370837"/>
    <w:rsid w:val="003809CC"/>
    <w:rsid w:val="0038100D"/>
    <w:rsid w:val="003A0200"/>
    <w:rsid w:val="003A7FE0"/>
    <w:rsid w:val="003E4F80"/>
    <w:rsid w:val="00403FE3"/>
    <w:rsid w:val="0042109E"/>
    <w:rsid w:val="00427E46"/>
    <w:rsid w:val="004511E5"/>
    <w:rsid w:val="00451E4F"/>
    <w:rsid w:val="00483C66"/>
    <w:rsid w:val="0049082A"/>
    <w:rsid w:val="004A5DFE"/>
    <w:rsid w:val="004C19AB"/>
    <w:rsid w:val="00531B54"/>
    <w:rsid w:val="00565E07"/>
    <w:rsid w:val="0058270C"/>
    <w:rsid w:val="0058482F"/>
    <w:rsid w:val="005A0CD2"/>
    <w:rsid w:val="005C299F"/>
    <w:rsid w:val="005D79DE"/>
    <w:rsid w:val="005E1367"/>
    <w:rsid w:val="005F6C9F"/>
    <w:rsid w:val="00601C35"/>
    <w:rsid w:val="00602A16"/>
    <w:rsid w:val="00607E0A"/>
    <w:rsid w:val="00614530"/>
    <w:rsid w:val="00652E10"/>
    <w:rsid w:val="006604B3"/>
    <w:rsid w:val="00662942"/>
    <w:rsid w:val="00666055"/>
    <w:rsid w:val="00673973"/>
    <w:rsid w:val="006C0975"/>
    <w:rsid w:val="006C0D53"/>
    <w:rsid w:val="006C0DC5"/>
    <w:rsid w:val="006C14AD"/>
    <w:rsid w:val="006C2FC4"/>
    <w:rsid w:val="006C3824"/>
    <w:rsid w:val="006D40C0"/>
    <w:rsid w:val="006D5482"/>
    <w:rsid w:val="00752D07"/>
    <w:rsid w:val="00752E98"/>
    <w:rsid w:val="00757D46"/>
    <w:rsid w:val="007B6B6E"/>
    <w:rsid w:val="007D6200"/>
    <w:rsid w:val="007E260B"/>
    <w:rsid w:val="007E688B"/>
    <w:rsid w:val="0080244B"/>
    <w:rsid w:val="00807F36"/>
    <w:rsid w:val="00814010"/>
    <w:rsid w:val="008168C5"/>
    <w:rsid w:val="008230D2"/>
    <w:rsid w:val="00825EBF"/>
    <w:rsid w:val="00861410"/>
    <w:rsid w:val="00873948"/>
    <w:rsid w:val="00887307"/>
    <w:rsid w:val="008A0606"/>
    <w:rsid w:val="008A5720"/>
    <w:rsid w:val="008D4180"/>
    <w:rsid w:val="00900CE1"/>
    <w:rsid w:val="009072CF"/>
    <w:rsid w:val="00920DBE"/>
    <w:rsid w:val="009218E7"/>
    <w:rsid w:val="00924DEB"/>
    <w:rsid w:val="0093260C"/>
    <w:rsid w:val="00935A65"/>
    <w:rsid w:val="009370D1"/>
    <w:rsid w:val="00945F63"/>
    <w:rsid w:val="00946745"/>
    <w:rsid w:val="00991B3D"/>
    <w:rsid w:val="009A2236"/>
    <w:rsid w:val="009A265C"/>
    <w:rsid w:val="009A42F2"/>
    <w:rsid w:val="009B2B78"/>
    <w:rsid w:val="009D7B8E"/>
    <w:rsid w:val="009F1E26"/>
    <w:rsid w:val="00A17C76"/>
    <w:rsid w:val="00A20AE5"/>
    <w:rsid w:val="00A258C3"/>
    <w:rsid w:val="00A3209A"/>
    <w:rsid w:val="00A6731F"/>
    <w:rsid w:val="00A80A66"/>
    <w:rsid w:val="00A82C7D"/>
    <w:rsid w:val="00A903CC"/>
    <w:rsid w:val="00AA1074"/>
    <w:rsid w:val="00AA42AA"/>
    <w:rsid w:val="00AB1A8F"/>
    <w:rsid w:val="00AE2D42"/>
    <w:rsid w:val="00B06669"/>
    <w:rsid w:val="00B07E2A"/>
    <w:rsid w:val="00B144E8"/>
    <w:rsid w:val="00B15639"/>
    <w:rsid w:val="00B34AE0"/>
    <w:rsid w:val="00B45CBB"/>
    <w:rsid w:val="00B73548"/>
    <w:rsid w:val="00B74ABD"/>
    <w:rsid w:val="00B85FCD"/>
    <w:rsid w:val="00BB00DA"/>
    <w:rsid w:val="00BB5678"/>
    <w:rsid w:val="00C0400D"/>
    <w:rsid w:val="00C21B37"/>
    <w:rsid w:val="00C30D47"/>
    <w:rsid w:val="00C62B3E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15D8F"/>
    <w:rsid w:val="00D23643"/>
    <w:rsid w:val="00D3720D"/>
    <w:rsid w:val="00D374AD"/>
    <w:rsid w:val="00D440DC"/>
    <w:rsid w:val="00D748A4"/>
    <w:rsid w:val="00D76A74"/>
    <w:rsid w:val="00D911D1"/>
    <w:rsid w:val="00DD6226"/>
    <w:rsid w:val="00DE052C"/>
    <w:rsid w:val="00DF655A"/>
    <w:rsid w:val="00E073E3"/>
    <w:rsid w:val="00E07FF7"/>
    <w:rsid w:val="00E104E4"/>
    <w:rsid w:val="00E108FB"/>
    <w:rsid w:val="00E15FB9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55490"/>
    <w:rsid w:val="00F6697B"/>
    <w:rsid w:val="00F9583A"/>
    <w:rsid w:val="00F97C7A"/>
    <w:rsid w:val="00FA1E6B"/>
    <w:rsid w:val="00FA781F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5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4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93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4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3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3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8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24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5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5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9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2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apair2.org/calendar/viewitem.jsp?&amp;cal_item_id=33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Julie Simpson</cp:lastModifiedBy>
  <cp:revision>2</cp:revision>
  <cp:lastPrinted>2020-08-04T21:05:00Z</cp:lastPrinted>
  <dcterms:created xsi:type="dcterms:W3CDTF">2020-08-25T19:28:00Z</dcterms:created>
  <dcterms:modified xsi:type="dcterms:W3CDTF">2020-08-25T19:28:00Z</dcterms:modified>
</cp:coreProperties>
</file>